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宋体" w:hAnsi="宋体"/>
          <w:b/>
          <w:color w:val="auto"/>
          <w:kern w:val="0"/>
          <w:sz w:val="44"/>
          <w:szCs w:val="44"/>
        </w:rPr>
      </w:pPr>
      <w:bookmarkStart w:id="0" w:name="_GoBack"/>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方正小标宋_GBK" w:hAnsi="宋体" w:eastAsia="方正小标宋_GBK"/>
          <w:color w:val="auto"/>
          <w:kern w:val="0"/>
          <w:sz w:val="44"/>
          <w:szCs w:val="44"/>
        </w:rPr>
      </w:pPr>
      <w:r>
        <w:rPr>
          <w:rFonts w:hint="eastAsia" w:ascii="方正小标宋_GBK" w:hAnsi="宋体" w:eastAsia="方正小标宋_GBK"/>
          <w:color w:val="auto"/>
          <w:kern w:val="0"/>
          <w:sz w:val="44"/>
          <w:szCs w:val="44"/>
        </w:rPr>
        <w:t>托克逊县红十字会2024年单位预算公开</w:t>
      </w: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line="500" w:lineRule="exact"/>
        <w:jc w:val="center"/>
        <w:outlineLvl w:val="1"/>
        <w:rPr>
          <w:rFonts w:ascii="黑体" w:hAnsi="黑体" w:eastAsia="黑体" w:cs="黑体"/>
          <w:color w:val="auto"/>
          <w:kern w:val="0"/>
          <w:sz w:val="32"/>
          <w:szCs w:val="32"/>
        </w:rPr>
      </w:pPr>
      <w:r>
        <w:rPr>
          <w:rFonts w:hint="eastAsia" w:ascii="黑体" w:hAnsi="黑体" w:eastAsia="黑体" w:cs="黑体"/>
          <w:color w:val="auto"/>
          <w:kern w:val="0"/>
          <w:sz w:val="32"/>
          <w:szCs w:val="32"/>
        </w:rPr>
        <w:t>目录</w:t>
      </w:r>
    </w:p>
    <w:p>
      <w:pPr>
        <w:widowControl/>
        <w:spacing w:line="600" w:lineRule="exact"/>
        <w:ind w:firstLine="883" w:firstLineChars="200"/>
        <w:outlineLvl w:val="1"/>
        <w:rPr>
          <w:rFonts w:ascii="宋体" w:hAnsi="宋体"/>
          <w:b/>
          <w:color w:val="auto"/>
          <w:kern w:val="0"/>
          <w:sz w:val="44"/>
          <w:szCs w:val="44"/>
        </w:rPr>
      </w:pP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第一部分2024年单位概况</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一、主要职能</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二、机构设置及人员情况</w:t>
      </w: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第二部分2024年单位预算公开表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一、单位收支总体情况表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二、单位收入总体情况表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三、单位支出总体情况表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四、财政拨款收支预算总体情况表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五、一般公共预算支出情况表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六、一般公共预算基本支出情况表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w:t>
      </w:r>
      <w:r>
        <w:rPr>
          <w:rFonts w:hint="eastAsia" w:ascii="仿宋_GB2312" w:hAnsi="宋体" w:eastAsia="仿宋_GB2312"/>
          <w:bCs/>
          <w:color w:val="auto"/>
          <w:kern w:val="0"/>
          <w:sz w:val="32"/>
          <w:szCs w:val="32"/>
        </w:rPr>
        <w:t>一般公共预算项目支出情况表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八、政府性基金预算支出情况表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九、国有资本经营预算支出情况表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十、财政拨款“三公”经费支出情况表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十一、上年结转结余情况明细表</w:t>
      </w: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第三部分2024年单位预算情况说明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一、关于托克逊县红十字会单位2024年收支预算情况的总体说明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二、关于托克逊县红十字会单位2024年收入预算情况说明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三、关于托克逊县红十字会单位2024年支出预算情况说明</w:t>
      </w:r>
    </w:p>
    <w:p>
      <w:pPr>
        <w:widowControl/>
        <w:spacing w:line="600" w:lineRule="exact"/>
        <w:ind w:firstLine="640" w:firstLineChars="200"/>
        <w:outlineLvl w:val="1"/>
        <w:rPr>
          <w:rFonts w:ascii="仿宋_GB2312" w:hAnsi="宋体" w:eastAsia="仿宋_GB2312"/>
          <w:bCs/>
          <w:color w:val="auto"/>
          <w:kern w:val="0"/>
          <w:sz w:val="32"/>
          <w:szCs w:val="32"/>
        </w:rPr>
      </w:pPr>
      <w:r>
        <w:rPr>
          <w:rFonts w:hint="eastAsia" w:ascii="仿宋_GB2312" w:hAnsi="宋体" w:eastAsia="仿宋_GB2312"/>
          <w:bCs/>
          <w:color w:val="auto"/>
          <w:kern w:val="0"/>
          <w:sz w:val="32"/>
          <w:szCs w:val="32"/>
        </w:rPr>
        <w:t>四、关于托克逊县红十字会单位2024年财政拨款收支预算情况的总体说明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五、关于托克逊县红十字会单位2024年一般公共预算当年拨款情况说明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六、关于托克逊县红十字会单位2024年一般公共预算基本支出情况说明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七、关于托克逊县红十字会单位2024年一般公共预算项目支出情况说明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八、关于托克逊县红十字会单位2024年政府性基金预算拨款情况说明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九、关于托克逊县红十字会单位2024年国有资本经营预算拨款情况说明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十、关于托克逊县红十字会单位2024年财政拨款“三公”经费预算情况说明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十一、关于托克逊县红十字会单位2024年上年结转结余预算情况说明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十二、其他重要事项的情况说明</w:t>
      </w: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第四部分名词解释</w:t>
      </w:r>
    </w:p>
    <w:p>
      <w:pPr>
        <w:widowControl/>
        <w:jc w:val="center"/>
        <w:outlineLvl w:val="1"/>
        <w:rPr>
          <w:rFonts w:ascii="黑体" w:hAnsi="黑体" w:eastAsia="黑体"/>
          <w:color w:val="auto"/>
          <w:kern w:val="0"/>
          <w:sz w:val="32"/>
          <w:szCs w:val="32"/>
        </w:rPr>
      </w:pPr>
      <w:r>
        <w:rPr>
          <w:rFonts w:ascii="微软雅黑" w:hAnsi="Calibri" w:eastAsia="微软雅黑"/>
          <w:b/>
          <w:bCs/>
          <w:color w:val="auto"/>
          <w:kern w:val="44"/>
          <w:sz w:val="28"/>
          <w:szCs w:val="28"/>
        </w:rPr>
        <w:br w:type="page"/>
      </w:r>
      <w:r>
        <w:rPr>
          <w:rFonts w:hint="eastAsia" w:ascii="黑体" w:hAnsi="黑体" w:eastAsia="黑体"/>
          <w:color w:val="auto"/>
          <w:kern w:val="0"/>
          <w:sz w:val="32"/>
          <w:szCs w:val="32"/>
        </w:rPr>
        <w:t>第一部分2024年单位概况</w:t>
      </w:r>
    </w:p>
    <w:p>
      <w:pPr>
        <w:widowControl/>
        <w:jc w:val="center"/>
        <w:outlineLvl w:val="1"/>
        <w:rPr>
          <w:rFonts w:ascii="宋体" w:hAnsi="宋体"/>
          <w:b/>
          <w:color w:val="auto"/>
          <w:kern w:val="0"/>
          <w:sz w:val="32"/>
          <w:szCs w:val="32"/>
        </w:rPr>
      </w:pPr>
    </w:p>
    <w:p>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color w:val="auto"/>
          <w:kern w:val="0"/>
          <w:sz w:val="32"/>
          <w:szCs w:val="32"/>
        </w:rPr>
        <w:t>　</w:t>
      </w:r>
      <w:r>
        <w:rPr>
          <w:rFonts w:hint="eastAsia" w:ascii="楷体_GB2312" w:hAnsi="楷体_GB2312" w:eastAsia="楷体_GB2312" w:cs="楷体_GB2312"/>
          <w:b/>
          <w:bCs/>
          <w:color w:val="auto"/>
          <w:kern w:val="0"/>
          <w:sz w:val="32"/>
          <w:szCs w:val="32"/>
        </w:rPr>
        <w:t>一、主要职能</w:t>
      </w:r>
    </w:p>
    <w:p>
      <w:pPr>
        <w:widowControl/>
        <w:spacing w:line="540" w:lineRule="exact"/>
        <w:ind w:firstLine="640" w:firstLineChars="200"/>
        <w:jc w:val="left"/>
        <w:rPr>
          <w:rFonts w:ascii="仿宋_GB2312" w:hAnsi="宋体" w:eastAsia="仿宋_GB2312" w:cs="宋体"/>
          <w:bCs/>
          <w:color w:val="auto"/>
          <w:kern w:val="0"/>
          <w:sz w:val="32"/>
          <w:szCs w:val="32"/>
        </w:rPr>
      </w:pPr>
      <w:r>
        <w:rPr>
          <w:rFonts w:hint="eastAsia" w:ascii="仿宋_GB2312" w:hAnsi="黑体" w:eastAsia="仿宋_GB2312" w:cs="宋体"/>
          <w:bCs/>
          <w:color w:val="auto"/>
          <w:kern w:val="0"/>
          <w:sz w:val="32"/>
          <w:szCs w:val="32"/>
        </w:rPr>
        <w:t>1、宣传、执行《中华人民共和国红十字会法》等法律法规。</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2、开展备灾救灾工作，在自然灾害和突发事件中开展救援救护和救助，及时向灾区群众和受难者提供急需的人道主义援助。</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3、开展卫生救护和防病知识的宣传普及和培训工作，并组织动员群众参加意外伤害和自然灾害的现场救护。</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4、参与组织、宣传、动员输血献血工作，推动无偿造血干细胞捐献、器官捐献事业的发展。</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5、组织和管理会员、志愿工作者开展符合红十字会宗旨的社会服务工作。</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6、依法开展社会募捐活动。</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7、组织红十字青少年开展社会主义精神文明和弘扬人道主义活动。</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8、承办县人民政府委托的其他有关事项。</w:t>
      </w:r>
    </w:p>
    <w:p>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b/>
          <w:color w:val="auto"/>
          <w:kern w:val="0"/>
          <w:sz w:val="32"/>
          <w:szCs w:val="32"/>
        </w:rPr>
        <w:t>　</w:t>
      </w:r>
      <w:r>
        <w:rPr>
          <w:rFonts w:hint="eastAsia" w:ascii="楷体_GB2312" w:hAnsi="楷体_GB2312" w:eastAsia="楷体_GB2312" w:cs="楷体_GB2312"/>
          <w:b/>
          <w:bCs/>
          <w:color w:val="auto"/>
          <w:kern w:val="0"/>
          <w:sz w:val="32"/>
          <w:szCs w:val="32"/>
        </w:rPr>
        <w:t>二、机构设置及人员情况</w:t>
      </w:r>
    </w:p>
    <w:p>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托克逊县红十字会单位无下属预算单位，下设1个处室，分别是：综合办公室</w:t>
      </w:r>
      <w:r>
        <w:rPr>
          <w:rFonts w:hint="eastAsia" w:ascii="仿宋_GB2312" w:hAnsi="宋体" w:eastAsia="仿宋_GB2312" w:cs="宋体"/>
          <w:color w:val="auto"/>
          <w:kern w:val="0"/>
          <w:sz w:val="32"/>
          <w:szCs w:val="32"/>
        </w:rPr>
        <w:t>。</w:t>
      </w:r>
    </w:p>
    <w:p>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托克逊县红十字会单位编制数3，实有人数6人，其中：在职3人，增加0人；退休3人，增加1人；离休0人，增加0人。</w:t>
      </w:r>
    </w:p>
    <w:p>
      <w:pPr>
        <w:widowControl/>
        <w:spacing w:before="156" w:beforeLines="50"/>
        <w:jc w:val="center"/>
        <w:outlineLvl w:val="1"/>
        <w:rPr>
          <w:rFonts w:ascii="黑体" w:hAnsi="黑体" w:eastAsia="黑体"/>
          <w:color w:val="auto"/>
          <w:kern w:val="0"/>
          <w:sz w:val="32"/>
          <w:szCs w:val="32"/>
        </w:rPr>
      </w:pPr>
      <w:r>
        <w:rPr>
          <w:rFonts w:hint="eastAsia" w:ascii="黑体" w:hAnsi="黑体" w:eastAsia="黑体"/>
          <w:b/>
          <w:bCs/>
          <w:color w:val="auto"/>
          <w:kern w:val="44"/>
          <w:sz w:val="28"/>
          <w:szCs w:val="28"/>
        </w:rPr>
        <w:br w:type="page"/>
      </w:r>
      <w:r>
        <w:rPr>
          <w:rFonts w:hint="eastAsia" w:ascii="黑体" w:hAnsi="黑体" w:eastAsia="黑体"/>
          <w:color w:val="auto"/>
          <w:kern w:val="0"/>
          <w:sz w:val="32"/>
          <w:szCs w:val="32"/>
        </w:rPr>
        <w:t>第二部分2024年单位预算公开表</w:t>
      </w:r>
    </w:p>
    <w:p>
      <w:pPr>
        <w:widowControl/>
        <w:spacing w:before="156" w:beforeLines="50"/>
        <w:outlineLvl w:val="1"/>
        <w:rPr>
          <w:rFonts w:ascii="宋体" w:hAnsi="宋体" w:cs="宋体"/>
          <w:color w:val="auto"/>
          <w:kern w:val="0"/>
          <w:sz w:val="20"/>
          <w:szCs w:val="20"/>
        </w:rPr>
      </w:pPr>
      <w:r>
        <w:rPr>
          <w:rFonts w:hint="eastAsia" w:ascii="宋体" w:hAnsi="宋体" w:cs="宋体"/>
          <w:color w:val="auto"/>
          <w:kern w:val="0"/>
          <w:sz w:val="20"/>
          <w:szCs w:val="20"/>
        </w:rPr>
        <w:t>表1</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22" w:type="dxa"/>
            <w:gridSpan w:val="4"/>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编制单位：托克逊县红十字会</w:t>
            </w:r>
          </w:p>
        </w:tc>
        <w:tc>
          <w:tcPr>
            <w:tcW w:w="130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111.58</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81.58</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81.58</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100.87</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4.14</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30.00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30.00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6.57</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111.58</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111.58</w:t>
            </w:r>
          </w:p>
        </w:tc>
      </w:tr>
    </w:tbl>
    <w:p>
      <w:pPr>
        <w:widowControl/>
        <w:jc w:val="left"/>
        <w:outlineLvl w:val="1"/>
        <w:rPr>
          <w:rFonts w:ascii="微软雅黑" w:hAnsi="微软雅黑" w:eastAsia="微软雅黑"/>
          <w:b/>
          <w:color w:val="auto"/>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pPr>
        <w:widowControl/>
        <w:jc w:val="left"/>
        <w:outlineLvl w:val="1"/>
        <w:rPr>
          <w:rFonts w:ascii="宋体" w:hAnsi="宋体" w:cs="宋体"/>
          <w:color w:val="auto"/>
          <w:kern w:val="0"/>
          <w:sz w:val="20"/>
          <w:szCs w:val="20"/>
        </w:rPr>
      </w:pPr>
      <w:r>
        <w:rPr>
          <w:rFonts w:hint="eastAsia" w:ascii="宋体" w:hAnsi="宋体" w:cs="宋体"/>
          <w:color w:val="auto"/>
          <w:kern w:val="0"/>
          <w:sz w:val="20"/>
          <w:szCs w:val="20"/>
        </w:rPr>
        <w:t>表2</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pPr>
              <w:widowControl/>
              <w:jc w:val="lef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编制单位：托克逊县红十字会</w:t>
            </w:r>
          </w:p>
        </w:tc>
        <w:tc>
          <w:tcPr>
            <w:tcW w:w="3889" w:type="dxa"/>
            <w:tcBorders>
              <w:top w:val="nil"/>
              <w:left w:val="nil"/>
              <w:bottom w:val="nil"/>
              <w:right w:val="nil"/>
            </w:tcBorders>
          </w:tcPr>
          <w:p>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hAnsi="宋体" w:eastAsia="仿宋_GB2312" w:cs="宋体"/>
                <w:b/>
                <w:color w:val="auto"/>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rPr>
            </w:pPr>
            <w:r>
              <w:rPr>
                <w:rFonts w:hint="eastAsia" w:ascii="仿宋_GB2312" w:eastAsia="仿宋_GB2312"/>
                <w:b/>
                <w:color w:val="auto"/>
                <w:sz w:val="20"/>
                <w:szCs w:val="20"/>
              </w:rPr>
              <w:t>类</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rPr>
            </w:pPr>
            <w:r>
              <w:rPr>
                <w:rFonts w:hint="eastAsia" w:ascii="仿宋_GB2312" w:eastAsia="仿宋_GB2312"/>
                <w:b/>
                <w:color w:val="auto"/>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rPr>
            </w:pPr>
            <w:r>
              <w:rPr>
                <w:rFonts w:hint="eastAsia" w:ascii="仿宋_GB2312" w:eastAsia="仿宋_GB2312"/>
                <w:b/>
                <w:color w:val="auto"/>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84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82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100.87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70.87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70.87</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30.00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11.38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11.38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11.38</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3.18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3.18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3.18</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8.20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8.20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8.20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16</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红十字事业</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89.49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59.49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59.49</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30.00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16</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89.49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59.49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59.49</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30.00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4.14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4.14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4.14</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4.14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4.14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4.14</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3.48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3.48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3.48</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03</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0.66</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0.66</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0.66</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6.57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6.57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6.57</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6.57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6.57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6.57</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6.57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6.57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6.57</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111.58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81.58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81.58</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30.00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bl>
    <w:p>
      <w:pPr>
        <w:widowControl/>
        <w:jc w:val="left"/>
        <w:outlineLvl w:val="1"/>
        <w:rPr>
          <w:rFonts w:ascii="仿宋_GB2312" w:hAnsi="宋体" w:eastAsia="仿宋_GB2312"/>
          <w:b/>
          <w:color w:val="auto"/>
          <w:kern w:val="0"/>
          <w:sz w:val="32"/>
          <w:szCs w:val="32"/>
        </w:rPr>
        <w:sectPr>
          <w:pgSz w:w="16838" w:h="11906" w:orient="landscape"/>
          <w:pgMar w:top="1800" w:right="1440" w:bottom="1800" w:left="1440" w:header="851" w:footer="992" w:gutter="0"/>
          <w:cols w:space="425" w:num="1"/>
          <w:docGrid w:type="lines" w:linePitch="312" w:charSpace="0"/>
        </w:sectPr>
      </w:pPr>
    </w:p>
    <w:p>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表3</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21"/>
        <w:gridCol w:w="1764"/>
        <w:gridCol w:w="1757"/>
        <w:gridCol w:w="178"/>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pPr>
              <w:widowControl/>
              <w:jc w:val="left"/>
              <w:outlineLvl w:val="1"/>
              <w:rPr>
                <w:rFonts w:ascii="仿宋_GB2312" w:hAnsi="宋体" w:eastAsia="仿宋_GB2312"/>
                <w:b/>
                <w:color w:val="auto"/>
                <w:kern w:val="0"/>
                <w:sz w:val="32"/>
                <w:szCs w:val="32"/>
              </w:rPr>
            </w:pPr>
            <w:r>
              <w:rPr>
                <w:rFonts w:hint="eastAsia" w:ascii="仿宋_GB2312" w:eastAsia="仿宋_GB2312"/>
                <w:color w:val="auto"/>
                <w:sz w:val="24"/>
              </w:rPr>
              <w:t>编制单位：托克逊县红十字会</w:t>
            </w:r>
          </w:p>
        </w:tc>
        <w:tc>
          <w:tcPr>
            <w:tcW w:w="1300" w:type="dxa"/>
            <w:tcBorders>
              <w:top w:val="nil"/>
              <w:left w:val="nil"/>
              <w:bottom w:val="nil"/>
              <w:right w:val="nil"/>
            </w:tcBorders>
          </w:tcPr>
          <w:p>
            <w:pPr>
              <w:widowControl/>
              <w:jc w:val="right"/>
              <w:outlineLvl w:val="1"/>
              <w:rPr>
                <w:rFonts w:ascii="仿宋_GB2312" w:hAnsi="宋体" w:eastAsia="仿宋_GB2312"/>
                <w:b/>
                <w:color w:val="auto"/>
                <w:kern w:val="0"/>
                <w:sz w:val="32"/>
                <w:szCs w:val="32"/>
              </w:rPr>
            </w:pPr>
            <w:r>
              <w:rPr>
                <w:rFonts w:hint="eastAsia" w:ascii="仿宋_GB2312" w:eastAsia="仿宋_GB2312"/>
                <w:color w:val="auto"/>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支出预算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项目支出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100.87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70.87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11.38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11.38</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3.18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3.18</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8.20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8.20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16</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红十字事业</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89.49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59.49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16</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89.49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59.49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4.14</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4.14</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4.14</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4.14</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3.48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3.48</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03</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0.66</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0.66</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6.57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6.57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6.57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6.57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6.57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6.57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111.58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81.58</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30.00</w:t>
            </w:r>
          </w:p>
        </w:tc>
      </w:tr>
    </w:tbl>
    <w:p>
      <w:pPr>
        <w:widowControl/>
        <w:spacing w:before="120" w:beforeLines="50"/>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表4</w:t>
      </w:r>
    </w:p>
    <w:p>
      <w:pPr>
        <w:widowControl/>
        <w:spacing w:before="120" w:beforeLines="50"/>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380"/>
        <w:gridCol w:w="290"/>
        <w:gridCol w:w="800"/>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编制单位：托克逊县红十字会</w:t>
            </w:r>
          </w:p>
        </w:tc>
        <w:tc>
          <w:tcPr>
            <w:tcW w:w="1808" w:type="dxa"/>
            <w:gridSpan w:val="3"/>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国有资本经营预算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81.58</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81.58</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70.87</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70.87</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4.14</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4.14</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6.57</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6.57</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81.58</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81.58</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81.58</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表5</w:t>
      </w:r>
    </w:p>
    <w:p>
      <w:pPr>
        <w:widowControl/>
        <w:jc w:val="center"/>
        <w:rPr>
          <w:rFonts w:ascii="仿宋_GB2312" w:hAnsi="宋体" w:eastAsia="仿宋_GB2312" w:cs="宋体"/>
          <w:b/>
          <w:bCs/>
          <w:color w:val="auto"/>
          <w:kern w:val="0"/>
          <w:sz w:val="32"/>
          <w:szCs w:val="32"/>
        </w:rPr>
      </w:pPr>
      <w:r>
        <w:rPr>
          <w:rFonts w:hint="eastAsia" w:ascii="仿宋_GB2312" w:hAnsi="宋体" w:eastAsia="仿宋_GB2312" w:cs="宋体"/>
          <w:b/>
          <w:bCs/>
          <w:color w:val="auto"/>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编制单位：托克逊县红十字会</w:t>
            </w:r>
          </w:p>
        </w:tc>
        <w:tc>
          <w:tcPr>
            <w:tcW w:w="1307"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一般公共预算支出</w:t>
            </w:r>
          </w:p>
        </w:tc>
      </w:tr>
      <w:tr>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70.87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70.87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11.38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11.38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3.18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3.18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8.20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8.20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16</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红十字事业</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59.49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59.49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16</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59.49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59.49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4.14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4.14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4.14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4.14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3.48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3.48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0.66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0.66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6.57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6.57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6.57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6.57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6.57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6.57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81.58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81.58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表6</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cs="宋体"/>
          <w:b/>
          <w:bCs/>
          <w:color w:val="auto"/>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编制单位：托克逊县红十字会</w:t>
            </w:r>
          </w:p>
        </w:tc>
        <w:tc>
          <w:tcPr>
            <w:tcW w:w="130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一般公共预算基本支出</w:t>
            </w:r>
          </w:p>
        </w:tc>
      </w:tr>
      <w:tr>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公用经费</w:t>
            </w:r>
          </w:p>
        </w:tc>
      </w:tr>
      <w:tr>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74.17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74.17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12.78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12.78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13.25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13.25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9.08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9.08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8.20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8.20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3.48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3.48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0.66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0.66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6.57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6.57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19.95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19.95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4.23</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4.23</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1.94</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1.94</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0.40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0.50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0.99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0.99</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3.18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3.18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3.18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3.18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81.58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77.35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4.23</w:t>
            </w:r>
          </w:p>
        </w:tc>
      </w:tr>
    </w:tbl>
    <w:p>
      <w:pPr>
        <w:widowControl/>
        <w:jc w:val="left"/>
        <w:outlineLvl w:val="1"/>
        <w:rPr>
          <w:color w:val="auto"/>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表7</w:t>
      </w:r>
    </w:p>
    <w:p>
      <w:pPr>
        <w:jc w:val="center"/>
        <w:rPr>
          <w:rFonts w:ascii="仿宋_GB2312" w:hAnsi="宋体" w:eastAsia="仿宋_GB2312"/>
          <w:b/>
          <w:color w:val="auto"/>
          <w:sz w:val="32"/>
          <w:szCs w:val="32"/>
        </w:rPr>
      </w:pPr>
      <w:r>
        <w:rPr>
          <w:rFonts w:hint="eastAsia" w:ascii="仿宋_GB2312" w:hAnsi="宋体" w:eastAsia="仿宋_GB2312"/>
          <w:b/>
          <w:color w:val="auto"/>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编制单位：托克逊县红十字会</w:t>
            </w:r>
          </w:p>
        </w:tc>
        <w:tc>
          <w:tcPr>
            <w:tcW w:w="2720" w:type="dxa"/>
            <w:tcBorders>
              <w:top w:val="nil"/>
              <w:left w:val="nil"/>
              <w:bottom w:val="nil"/>
              <w:right w:val="nil"/>
            </w:tcBorders>
          </w:tcPr>
          <w:p>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科目编码</w:t>
            </w:r>
          </w:p>
        </w:tc>
        <w:tc>
          <w:tcPr>
            <w:tcW w:w="2321"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科目名称</w:t>
            </w:r>
          </w:p>
        </w:tc>
        <w:tc>
          <w:tcPr>
            <w:tcW w:w="21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项目名称</w:t>
            </w:r>
          </w:p>
        </w:tc>
        <w:tc>
          <w:tcPr>
            <w:tcW w:w="95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项目支出合计</w:t>
            </w:r>
          </w:p>
        </w:tc>
        <w:tc>
          <w:tcPr>
            <w:tcW w:w="7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工资福利支出</w:t>
            </w:r>
          </w:p>
        </w:tc>
        <w:tc>
          <w:tcPr>
            <w:tcW w:w="8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商品和服务支出</w:t>
            </w:r>
          </w:p>
        </w:tc>
        <w:tc>
          <w:tcPr>
            <w:tcW w:w="6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对个人和家庭的补助</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债务利息及费用支出</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资本性支出（基本建设）</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w:t>
            </w:r>
          </w:p>
        </w:tc>
        <w:tc>
          <w:tcPr>
            <w:tcW w:w="79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对企业补助（基本建设）</w:t>
            </w:r>
          </w:p>
        </w:tc>
        <w:tc>
          <w:tcPr>
            <w:tcW w:w="64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对社会保障基金补助</w:t>
            </w:r>
          </w:p>
        </w:tc>
        <w:tc>
          <w:tcPr>
            <w:tcW w:w="6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类</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款</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w:t>
            </w:r>
          </w:p>
        </w:tc>
        <w:tc>
          <w:tcPr>
            <w:tcW w:w="2321" w:type="dxa"/>
            <w:vMerge w:val="continue"/>
            <w:shd w:val="clear" w:color="auto" w:fill="auto"/>
            <w:vAlign w:val="center"/>
          </w:tcPr>
          <w:p>
            <w:pPr>
              <w:jc w:val="center"/>
              <w:rPr>
                <w:color w:val="auto"/>
                <w:sz w:val="20"/>
                <w:szCs w:val="20"/>
              </w:rPr>
            </w:pPr>
          </w:p>
        </w:tc>
        <w:tc>
          <w:tcPr>
            <w:tcW w:w="2170" w:type="dxa"/>
            <w:vMerge w:val="continue"/>
            <w:shd w:val="clear" w:color="auto" w:fill="auto"/>
            <w:vAlign w:val="center"/>
          </w:tcPr>
          <w:p>
            <w:pPr>
              <w:jc w:val="center"/>
              <w:rPr>
                <w:color w:val="auto"/>
                <w:sz w:val="20"/>
                <w:szCs w:val="20"/>
              </w:rPr>
            </w:pPr>
          </w:p>
        </w:tc>
        <w:tc>
          <w:tcPr>
            <w:tcW w:w="950" w:type="dxa"/>
            <w:vMerge w:val="continue"/>
            <w:shd w:val="clear" w:color="auto" w:fill="auto"/>
            <w:vAlign w:val="center"/>
          </w:tcPr>
          <w:p>
            <w:pPr>
              <w:jc w:val="center"/>
              <w:rPr>
                <w:color w:val="auto"/>
                <w:sz w:val="20"/>
                <w:szCs w:val="20"/>
              </w:rPr>
            </w:pPr>
          </w:p>
        </w:tc>
        <w:tc>
          <w:tcPr>
            <w:tcW w:w="720" w:type="dxa"/>
            <w:vMerge w:val="continue"/>
            <w:shd w:val="clear" w:color="auto" w:fill="auto"/>
            <w:vAlign w:val="center"/>
          </w:tcPr>
          <w:p>
            <w:pPr>
              <w:jc w:val="center"/>
              <w:rPr>
                <w:color w:val="auto"/>
                <w:sz w:val="20"/>
                <w:szCs w:val="20"/>
              </w:rPr>
            </w:pPr>
          </w:p>
        </w:tc>
        <w:tc>
          <w:tcPr>
            <w:tcW w:w="820" w:type="dxa"/>
            <w:vMerge w:val="continue"/>
            <w:shd w:val="clear" w:color="auto" w:fill="auto"/>
            <w:vAlign w:val="center"/>
          </w:tcPr>
          <w:p>
            <w:pPr>
              <w:jc w:val="center"/>
              <w:rPr>
                <w:color w:val="auto"/>
                <w:sz w:val="20"/>
                <w:szCs w:val="20"/>
              </w:rPr>
            </w:pPr>
          </w:p>
        </w:tc>
        <w:tc>
          <w:tcPr>
            <w:tcW w:w="67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0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90" w:type="dxa"/>
            <w:vMerge w:val="continue"/>
            <w:shd w:val="clear" w:color="auto" w:fill="auto"/>
          </w:tcPr>
          <w:p>
            <w:pPr>
              <w:jc w:val="center"/>
              <w:rPr>
                <w:color w:val="auto"/>
                <w:sz w:val="20"/>
                <w:szCs w:val="20"/>
              </w:rPr>
            </w:pPr>
          </w:p>
        </w:tc>
        <w:tc>
          <w:tcPr>
            <w:tcW w:w="640" w:type="dxa"/>
            <w:vMerge w:val="continue"/>
            <w:shd w:val="clear" w:color="auto" w:fill="auto"/>
            <w:vAlign w:val="center"/>
          </w:tcPr>
          <w:p>
            <w:pPr>
              <w:jc w:val="center"/>
              <w:rPr>
                <w:color w:val="auto"/>
                <w:sz w:val="20"/>
                <w:szCs w:val="20"/>
              </w:rPr>
            </w:pPr>
          </w:p>
        </w:tc>
        <w:tc>
          <w:tcPr>
            <w:tcW w:w="700" w:type="dxa"/>
            <w:vMerge w:val="continue"/>
            <w:shd w:val="clear" w:color="auto" w:fill="auto"/>
          </w:tcPr>
          <w:p>
            <w:pPr>
              <w:jc w:val="center"/>
              <w:rPr>
                <w:color w:val="auto"/>
                <w:sz w:val="20"/>
                <w:szCs w:val="20"/>
              </w:rPr>
            </w:pPr>
          </w:p>
        </w:tc>
        <w:tc>
          <w:tcPr>
            <w:tcW w:w="620" w:type="dxa"/>
            <w:vMerge w:val="continue"/>
            <w:shd w:val="clear" w:color="auto" w:fill="auto"/>
          </w:tcPr>
          <w:p>
            <w:pPr>
              <w:jc w:val="center"/>
              <w:rPr>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合计</w:t>
            </w: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备注：托克逊县红十字会2024年没有安排项目支出，项目支出情况表为空表。</w:t>
      </w:r>
    </w:p>
    <w:p>
      <w:pPr>
        <w:widowControl/>
        <w:jc w:val="left"/>
        <w:outlineLvl w:val="1"/>
        <w:rPr>
          <w:color w:val="auto"/>
        </w:rPr>
        <w:sectPr>
          <w:pgSz w:w="16838" w:h="11906" w:orient="landscape"/>
          <w:pgMar w:top="1588" w:right="2098" w:bottom="1418" w:left="1928" w:header="851" w:footer="992" w:gutter="0"/>
          <w:pgNumType w:fmt="numberInDash"/>
          <w:cols w:space="720" w:num="1"/>
          <w:docGrid w:linePitch="312" w:charSpace="0"/>
        </w:sectPr>
      </w:pPr>
    </w:p>
    <w:p>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表8</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编制单位：托克逊县红十字会</w:t>
            </w:r>
          </w:p>
        </w:tc>
        <w:tc>
          <w:tcPr>
            <w:tcW w:w="131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政府性基金预算支出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备注：托克逊县红十字会2024年没有使用政府性基金预算拨款安排的支出，政府性基金预算支出情况表为空表。</w:t>
      </w:r>
    </w:p>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表9</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编制单位：托克逊县红十字会</w:t>
            </w:r>
          </w:p>
        </w:tc>
        <w:tc>
          <w:tcPr>
            <w:tcW w:w="131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国有资本经营预算支出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备注：托克逊县红十字会2024年没有使用国有资本经营预算拨款安排的支出，国有资本经营预算支出情况表为空表。</w:t>
      </w:r>
    </w:p>
    <w:p>
      <w:pPr>
        <w:widowControl/>
        <w:jc w:val="left"/>
        <w:outlineLvl w:val="1"/>
        <w:rPr>
          <w:rFonts w:ascii="仿宋_GB2312" w:hAnsi="宋体" w:eastAsia="仿宋_GB2312"/>
          <w:b/>
          <w:color w:val="auto"/>
          <w:kern w:val="0"/>
          <w:sz w:val="32"/>
          <w:szCs w:val="32"/>
        </w:rPr>
      </w:pPr>
    </w:p>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表10</w:t>
      </w:r>
    </w:p>
    <w:p>
      <w:pPr>
        <w:widowControl/>
        <w:jc w:val="left"/>
        <w:outlineLvl w:val="1"/>
        <w:rPr>
          <w:rFonts w:ascii="仿宋_GB2312" w:hAnsi="宋体" w:eastAsia="仿宋_GB2312"/>
          <w:b/>
          <w:color w:val="auto"/>
          <w:kern w:val="0"/>
          <w:sz w:val="32"/>
          <w:szCs w:val="32"/>
        </w:rPr>
      </w:pP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财政拨款“三公”经费支出情况表</w:t>
      </w:r>
    </w:p>
    <w:p>
      <w:pPr>
        <w:widowControl/>
        <w:jc w:val="center"/>
        <w:outlineLvl w:val="1"/>
        <w:rPr>
          <w:rFonts w:ascii="仿宋_GB2312" w:hAnsi="宋体" w:eastAsia="仿宋_GB2312"/>
          <w:b/>
          <w:color w:val="auto"/>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编制单位：托克逊县红十字会</w:t>
            </w:r>
          </w:p>
        </w:tc>
        <w:tc>
          <w:tcPr>
            <w:tcW w:w="1312"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资金来源</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国有资本经营预算</w:t>
            </w: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备注：托克逊县红十字会2024年未安排三公经费预算，三公经费支出情况表为空表。</w:t>
      </w:r>
    </w:p>
    <w:p>
      <w:pPr>
        <w:widowControl/>
        <w:jc w:val="left"/>
        <w:outlineLvl w:val="1"/>
        <w:rPr>
          <w:rFonts w:ascii="仿宋_GB2312" w:hAnsi="宋体" w:eastAsia="仿宋_GB2312"/>
          <w:b/>
          <w:color w:val="auto"/>
          <w:kern w:val="0"/>
          <w:sz w:val="32"/>
          <w:szCs w:val="32"/>
        </w:rPr>
      </w:pPr>
    </w:p>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表11</w:t>
      </w:r>
    </w:p>
    <w:p>
      <w:pPr>
        <w:widowControl/>
        <w:jc w:val="left"/>
        <w:outlineLvl w:val="1"/>
        <w:rPr>
          <w:rFonts w:ascii="仿宋_GB2312" w:hAnsi="宋体" w:eastAsia="仿宋_GB2312"/>
          <w:b/>
          <w:color w:val="auto"/>
          <w:kern w:val="0"/>
          <w:sz w:val="32"/>
          <w:szCs w:val="32"/>
        </w:rPr>
      </w:pP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上年结转结余情况明细表</w:t>
      </w:r>
    </w:p>
    <w:p>
      <w:pPr>
        <w:widowControl/>
        <w:jc w:val="center"/>
        <w:outlineLvl w:val="1"/>
        <w:rPr>
          <w:rFonts w:ascii="仿宋_GB2312" w:hAnsi="宋体" w:eastAsia="仿宋_GB2312"/>
          <w:b/>
          <w:color w:val="auto"/>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编制单位：托克逊县红十字会</w:t>
            </w:r>
          </w:p>
        </w:tc>
        <w:tc>
          <w:tcPr>
            <w:tcW w:w="2000" w:type="dxa"/>
            <w:gridSpan w:val="2"/>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w:t>
            </w:r>
          </w:p>
        </w:tc>
        <w:tc>
          <w:tcPr>
            <w:tcW w:w="850"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总计</w:t>
            </w:r>
          </w:p>
        </w:tc>
        <w:tc>
          <w:tcPr>
            <w:tcW w:w="3869" w:type="dxa"/>
            <w:gridSpan w:val="4"/>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color w:val="auto"/>
                <w:kern w:val="0"/>
                <w:sz w:val="20"/>
                <w:szCs w:val="20"/>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rPr>
            </w:pPr>
          </w:p>
        </w:tc>
        <w:tc>
          <w:tcPr>
            <w:tcW w:w="1054"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91" w:type="dxa"/>
            <w:gridSpan w:val="2"/>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024"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rPr>
            </w:pPr>
          </w:p>
        </w:tc>
        <w:tc>
          <w:tcPr>
            <w:tcW w:w="890"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901"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024" w:type="dxa"/>
            <w:vMerge w:val="continue"/>
            <w:vAlign w:val="center"/>
          </w:tcPr>
          <w:p>
            <w:pPr>
              <w:spacing w:line="600" w:lineRule="exact"/>
              <w:jc w:val="center"/>
              <w:rPr>
                <w:rFonts w:ascii="仿宋" w:hAnsi="仿宋" w:eastAsia="仿宋" w:cs="仿宋_GB2312"/>
                <w:bCs/>
                <w:color w:val="auto"/>
                <w:kern w:val="0"/>
                <w:sz w:val="28"/>
                <w:szCs w:val="28"/>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rPr>
            </w:pPr>
          </w:p>
        </w:tc>
        <w:tc>
          <w:tcPr>
            <w:tcW w:w="813"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791"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rPr>
            </w:pPr>
          </w:p>
        </w:tc>
        <w:tc>
          <w:tcPr>
            <w:tcW w:w="850" w:type="dxa"/>
            <w:vAlign w:val="center"/>
          </w:tcPr>
          <w:p>
            <w:pPr>
              <w:spacing w:line="600" w:lineRule="exact"/>
              <w:jc w:val="center"/>
              <w:rPr>
                <w:rFonts w:ascii="仿宋" w:hAnsi="仿宋" w:eastAsia="仿宋" w:cs="仿宋_GB2312"/>
                <w:bCs/>
                <w:color w:val="auto"/>
                <w:kern w:val="0"/>
                <w:sz w:val="18"/>
                <w:szCs w:val="18"/>
              </w:rPr>
            </w:pPr>
          </w:p>
        </w:tc>
        <w:tc>
          <w:tcPr>
            <w:tcW w:w="1054" w:type="dxa"/>
            <w:vAlign w:val="center"/>
          </w:tcPr>
          <w:p>
            <w:pPr>
              <w:spacing w:line="600" w:lineRule="exact"/>
              <w:jc w:val="center"/>
              <w:rPr>
                <w:rFonts w:ascii="仿宋" w:hAnsi="仿宋" w:eastAsia="仿宋" w:cs="仿宋_GB2312"/>
                <w:bCs/>
                <w:color w:val="auto"/>
                <w:kern w:val="0"/>
                <w:sz w:val="18"/>
                <w:szCs w:val="18"/>
              </w:rPr>
            </w:pPr>
          </w:p>
        </w:tc>
        <w:tc>
          <w:tcPr>
            <w:tcW w:w="890" w:type="dxa"/>
            <w:vAlign w:val="center"/>
          </w:tcPr>
          <w:p>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pPr>
              <w:spacing w:line="600" w:lineRule="exact"/>
              <w:jc w:val="center"/>
              <w:rPr>
                <w:rFonts w:ascii="仿宋" w:hAnsi="仿宋" w:eastAsia="仿宋" w:cs="仿宋_GB2312"/>
                <w:bCs/>
                <w:color w:val="auto"/>
                <w:kern w:val="0"/>
                <w:sz w:val="18"/>
                <w:szCs w:val="18"/>
              </w:rPr>
            </w:pPr>
          </w:p>
        </w:tc>
        <w:tc>
          <w:tcPr>
            <w:tcW w:w="797" w:type="dxa"/>
            <w:vAlign w:val="center"/>
          </w:tcPr>
          <w:p>
            <w:pPr>
              <w:spacing w:line="600" w:lineRule="exact"/>
              <w:jc w:val="center"/>
              <w:rPr>
                <w:rFonts w:ascii="仿宋" w:hAnsi="仿宋" w:eastAsia="仿宋" w:cs="仿宋_GB2312"/>
                <w:bCs/>
                <w:color w:val="auto"/>
                <w:kern w:val="0"/>
                <w:sz w:val="18"/>
                <w:szCs w:val="18"/>
              </w:rPr>
            </w:pPr>
          </w:p>
        </w:tc>
        <w:tc>
          <w:tcPr>
            <w:tcW w:w="813" w:type="dxa"/>
            <w:vAlign w:val="center"/>
          </w:tcPr>
          <w:p>
            <w:pPr>
              <w:spacing w:line="600" w:lineRule="exact"/>
              <w:jc w:val="center"/>
              <w:rPr>
                <w:rFonts w:ascii="仿宋" w:hAnsi="仿宋" w:eastAsia="仿宋" w:cs="仿宋_GB2312"/>
                <w:bCs/>
                <w:color w:val="auto"/>
                <w:kern w:val="0"/>
                <w:sz w:val="18"/>
                <w:szCs w:val="18"/>
              </w:rPr>
            </w:pPr>
          </w:p>
        </w:tc>
        <w:tc>
          <w:tcPr>
            <w:tcW w:w="791" w:type="dxa"/>
            <w:vAlign w:val="center"/>
          </w:tcPr>
          <w:p>
            <w:pPr>
              <w:spacing w:line="600" w:lineRule="exact"/>
              <w:jc w:val="center"/>
              <w:rPr>
                <w:rFonts w:ascii="仿宋" w:hAnsi="仿宋" w:eastAsia="仿宋" w:cs="仿宋_GB2312"/>
                <w:bCs/>
                <w:color w:val="auto"/>
                <w:kern w:val="0"/>
                <w:sz w:val="18"/>
                <w:szCs w:val="18"/>
              </w:rPr>
            </w:pPr>
          </w:p>
        </w:tc>
        <w:tc>
          <w:tcPr>
            <w:tcW w:w="1211" w:type="dxa"/>
            <w:vAlign w:val="center"/>
          </w:tcPr>
          <w:p>
            <w:pPr>
              <w:spacing w:line="600" w:lineRule="exact"/>
              <w:jc w:val="center"/>
              <w:rPr>
                <w:rFonts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rPr>
            </w:pPr>
          </w:p>
        </w:tc>
        <w:tc>
          <w:tcPr>
            <w:tcW w:w="850" w:type="dxa"/>
            <w:vAlign w:val="center"/>
          </w:tcPr>
          <w:p>
            <w:pPr>
              <w:spacing w:line="600" w:lineRule="exact"/>
              <w:jc w:val="center"/>
              <w:rPr>
                <w:rFonts w:ascii="仿宋" w:hAnsi="仿宋" w:eastAsia="仿宋" w:cs="仿宋_GB2312"/>
                <w:bCs/>
                <w:color w:val="auto"/>
                <w:kern w:val="0"/>
                <w:sz w:val="18"/>
                <w:szCs w:val="18"/>
              </w:rPr>
            </w:pPr>
          </w:p>
        </w:tc>
        <w:tc>
          <w:tcPr>
            <w:tcW w:w="1054" w:type="dxa"/>
            <w:vAlign w:val="center"/>
          </w:tcPr>
          <w:p>
            <w:pPr>
              <w:spacing w:line="600" w:lineRule="exact"/>
              <w:jc w:val="center"/>
              <w:rPr>
                <w:rFonts w:ascii="仿宋" w:hAnsi="仿宋" w:eastAsia="仿宋" w:cs="仿宋_GB2312"/>
                <w:bCs/>
                <w:color w:val="auto"/>
                <w:kern w:val="0"/>
                <w:sz w:val="18"/>
                <w:szCs w:val="18"/>
              </w:rPr>
            </w:pPr>
          </w:p>
        </w:tc>
        <w:tc>
          <w:tcPr>
            <w:tcW w:w="890" w:type="dxa"/>
            <w:vAlign w:val="center"/>
          </w:tcPr>
          <w:p>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pPr>
              <w:spacing w:line="600" w:lineRule="exact"/>
              <w:jc w:val="center"/>
              <w:rPr>
                <w:rFonts w:ascii="仿宋" w:hAnsi="仿宋" w:eastAsia="仿宋" w:cs="仿宋_GB2312"/>
                <w:bCs/>
                <w:color w:val="auto"/>
                <w:kern w:val="0"/>
                <w:sz w:val="18"/>
                <w:szCs w:val="18"/>
              </w:rPr>
            </w:pPr>
          </w:p>
        </w:tc>
        <w:tc>
          <w:tcPr>
            <w:tcW w:w="797" w:type="dxa"/>
            <w:vAlign w:val="center"/>
          </w:tcPr>
          <w:p>
            <w:pPr>
              <w:spacing w:line="600" w:lineRule="exact"/>
              <w:jc w:val="center"/>
              <w:rPr>
                <w:rFonts w:ascii="仿宋" w:hAnsi="仿宋" w:eastAsia="仿宋" w:cs="仿宋_GB2312"/>
                <w:bCs/>
                <w:color w:val="auto"/>
                <w:kern w:val="0"/>
                <w:sz w:val="18"/>
                <w:szCs w:val="18"/>
              </w:rPr>
            </w:pPr>
          </w:p>
        </w:tc>
        <w:tc>
          <w:tcPr>
            <w:tcW w:w="813" w:type="dxa"/>
            <w:vAlign w:val="center"/>
          </w:tcPr>
          <w:p>
            <w:pPr>
              <w:spacing w:line="600" w:lineRule="exact"/>
              <w:jc w:val="center"/>
              <w:rPr>
                <w:rFonts w:ascii="仿宋" w:hAnsi="仿宋" w:eastAsia="仿宋" w:cs="仿宋_GB2312"/>
                <w:bCs/>
                <w:color w:val="auto"/>
                <w:kern w:val="0"/>
                <w:sz w:val="18"/>
                <w:szCs w:val="18"/>
              </w:rPr>
            </w:pPr>
          </w:p>
        </w:tc>
        <w:tc>
          <w:tcPr>
            <w:tcW w:w="791" w:type="dxa"/>
            <w:vAlign w:val="center"/>
          </w:tcPr>
          <w:p>
            <w:pPr>
              <w:spacing w:line="600" w:lineRule="exact"/>
              <w:jc w:val="center"/>
              <w:rPr>
                <w:rFonts w:ascii="仿宋" w:hAnsi="仿宋" w:eastAsia="仿宋" w:cs="仿宋_GB2312"/>
                <w:bCs/>
                <w:color w:val="auto"/>
                <w:kern w:val="0"/>
                <w:sz w:val="18"/>
                <w:szCs w:val="18"/>
              </w:rPr>
            </w:pPr>
          </w:p>
        </w:tc>
        <w:tc>
          <w:tcPr>
            <w:tcW w:w="1211" w:type="dxa"/>
            <w:vAlign w:val="center"/>
          </w:tcPr>
          <w:p>
            <w:pPr>
              <w:spacing w:line="600" w:lineRule="exact"/>
              <w:jc w:val="center"/>
              <w:rPr>
                <w:rFonts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rPr>
            </w:pPr>
          </w:p>
        </w:tc>
        <w:tc>
          <w:tcPr>
            <w:tcW w:w="850" w:type="dxa"/>
            <w:vAlign w:val="center"/>
          </w:tcPr>
          <w:p>
            <w:pPr>
              <w:spacing w:line="600" w:lineRule="exact"/>
              <w:jc w:val="center"/>
              <w:rPr>
                <w:rFonts w:ascii="仿宋" w:hAnsi="仿宋" w:eastAsia="仿宋" w:cs="仿宋_GB2312"/>
                <w:bCs/>
                <w:color w:val="auto"/>
                <w:kern w:val="0"/>
                <w:sz w:val="18"/>
                <w:szCs w:val="18"/>
              </w:rPr>
            </w:pPr>
          </w:p>
        </w:tc>
        <w:tc>
          <w:tcPr>
            <w:tcW w:w="1054" w:type="dxa"/>
            <w:vAlign w:val="center"/>
          </w:tcPr>
          <w:p>
            <w:pPr>
              <w:spacing w:line="600" w:lineRule="exact"/>
              <w:jc w:val="center"/>
              <w:rPr>
                <w:rFonts w:ascii="仿宋" w:hAnsi="仿宋" w:eastAsia="仿宋" w:cs="仿宋_GB2312"/>
                <w:bCs/>
                <w:color w:val="auto"/>
                <w:kern w:val="0"/>
                <w:sz w:val="18"/>
                <w:szCs w:val="18"/>
              </w:rPr>
            </w:pPr>
          </w:p>
        </w:tc>
        <w:tc>
          <w:tcPr>
            <w:tcW w:w="890" w:type="dxa"/>
            <w:vAlign w:val="center"/>
          </w:tcPr>
          <w:p>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pPr>
              <w:spacing w:line="600" w:lineRule="exact"/>
              <w:jc w:val="center"/>
              <w:rPr>
                <w:rFonts w:ascii="仿宋" w:hAnsi="仿宋" w:eastAsia="仿宋" w:cs="仿宋_GB2312"/>
                <w:bCs/>
                <w:color w:val="auto"/>
                <w:kern w:val="0"/>
                <w:sz w:val="18"/>
                <w:szCs w:val="18"/>
              </w:rPr>
            </w:pPr>
          </w:p>
        </w:tc>
        <w:tc>
          <w:tcPr>
            <w:tcW w:w="797" w:type="dxa"/>
            <w:vAlign w:val="center"/>
          </w:tcPr>
          <w:p>
            <w:pPr>
              <w:spacing w:line="600" w:lineRule="exact"/>
              <w:jc w:val="center"/>
              <w:rPr>
                <w:rFonts w:ascii="仿宋" w:hAnsi="仿宋" w:eastAsia="仿宋" w:cs="仿宋_GB2312"/>
                <w:bCs/>
                <w:color w:val="auto"/>
                <w:kern w:val="0"/>
                <w:sz w:val="18"/>
                <w:szCs w:val="18"/>
              </w:rPr>
            </w:pPr>
          </w:p>
        </w:tc>
        <w:tc>
          <w:tcPr>
            <w:tcW w:w="813" w:type="dxa"/>
            <w:vAlign w:val="center"/>
          </w:tcPr>
          <w:p>
            <w:pPr>
              <w:spacing w:line="600" w:lineRule="exact"/>
              <w:jc w:val="center"/>
              <w:rPr>
                <w:rFonts w:ascii="仿宋" w:hAnsi="仿宋" w:eastAsia="仿宋" w:cs="仿宋_GB2312"/>
                <w:bCs/>
                <w:color w:val="auto"/>
                <w:kern w:val="0"/>
                <w:sz w:val="18"/>
                <w:szCs w:val="18"/>
              </w:rPr>
            </w:pPr>
          </w:p>
        </w:tc>
        <w:tc>
          <w:tcPr>
            <w:tcW w:w="791" w:type="dxa"/>
            <w:vAlign w:val="center"/>
          </w:tcPr>
          <w:p>
            <w:pPr>
              <w:spacing w:line="600" w:lineRule="exact"/>
              <w:jc w:val="center"/>
              <w:rPr>
                <w:rFonts w:ascii="仿宋" w:hAnsi="仿宋" w:eastAsia="仿宋" w:cs="仿宋_GB2312"/>
                <w:bCs/>
                <w:color w:val="auto"/>
                <w:kern w:val="0"/>
                <w:sz w:val="18"/>
                <w:szCs w:val="18"/>
              </w:rPr>
            </w:pPr>
          </w:p>
        </w:tc>
        <w:tc>
          <w:tcPr>
            <w:tcW w:w="1211" w:type="dxa"/>
            <w:vAlign w:val="center"/>
          </w:tcPr>
          <w:p>
            <w:pPr>
              <w:spacing w:line="600" w:lineRule="exact"/>
              <w:jc w:val="center"/>
              <w:rPr>
                <w:rFonts w:ascii="仿宋" w:hAnsi="仿宋" w:eastAsia="仿宋" w:cs="仿宋_GB2312"/>
                <w:bCs/>
                <w:color w:val="auto"/>
                <w:kern w:val="0"/>
                <w:sz w:val="18"/>
                <w:szCs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备注：托克逊县红十字会2024年无上年结转结余预算的支出，结转结余预算支出情况表为空表。</w:t>
      </w:r>
    </w:p>
    <w:p>
      <w:pPr>
        <w:widowControl/>
        <w:jc w:val="left"/>
        <w:outlineLvl w:val="1"/>
        <w:rPr>
          <w:rFonts w:ascii="仿宋_GB2312" w:hAnsi="宋体" w:eastAsia="仿宋_GB2312"/>
          <w:color w:val="auto"/>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pPr>
        <w:spacing w:line="560" w:lineRule="exact"/>
        <w:jc w:val="center"/>
        <w:rPr>
          <w:rFonts w:ascii="黑体" w:hAnsi="黑体" w:eastAsia="黑体"/>
          <w:color w:val="auto"/>
          <w:kern w:val="0"/>
          <w:sz w:val="32"/>
          <w:szCs w:val="32"/>
        </w:rPr>
      </w:pPr>
      <w:r>
        <w:rPr>
          <w:rFonts w:hint="eastAsia" w:ascii="黑体" w:hAnsi="黑体" w:eastAsia="黑体"/>
          <w:color w:val="auto"/>
          <w:kern w:val="0"/>
          <w:sz w:val="32"/>
          <w:szCs w:val="32"/>
        </w:rPr>
        <w:t>第三部分2024年单位预算情况说明</w:t>
      </w:r>
    </w:p>
    <w:p>
      <w:pPr>
        <w:spacing w:line="560" w:lineRule="exact"/>
        <w:jc w:val="center"/>
        <w:rPr>
          <w:rFonts w:ascii="楷体_GB2312" w:hAnsi="楷体_GB2312" w:eastAsia="楷体_GB2312"/>
          <w:color w:val="auto"/>
          <w:kern w:val="0"/>
          <w:sz w:val="32"/>
          <w:szCs w:val="32"/>
        </w:rPr>
      </w:pP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bCs/>
          <w:color w:val="auto"/>
          <w:kern w:val="0"/>
          <w:sz w:val="32"/>
          <w:szCs w:val="32"/>
        </w:rPr>
        <w:t>一、</w:t>
      </w:r>
      <w:r>
        <w:rPr>
          <w:rFonts w:hint="eastAsia" w:ascii="楷体_GB2312" w:hAnsi="楷体_GB2312" w:eastAsia="楷体_GB2312" w:cs="楷体_GB2312"/>
          <w:b/>
          <w:color w:val="auto"/>
          <w:kern w:val="0"/>
          <w:sz w:val="32"/>
          <w:szCs w:val="32"/>
        </w:rPr>
        <w:t>关于托克逊县红十字会单位2024年收支预算情况的总体说明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按照全口径预算的原则，托克逊县红十字会单位2024年所有收入和支出均纳入单位预算管理。收支总预算111.58万元。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收入预算包括：一般公共预算、单位资金。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支出预算包括：社会保障和就业支出、卫生健康支出、住房保障支出。</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二、关于托克逊县红十字会单位2024年收入预算情况说明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托克逊县红十字会单位收入预算111.58万元，其中：</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一般公共预算81.58万元，占73.11%，比上年预算减少4.01万元，下降4.69%，主要原因是职业年金由政府预算代列不在单位预算中体现，因此我单位一般公共预算比上年有所下降；</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上级一般公共预算安排的转移支付资金未安排。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上级政府性基金安排的转移支付资金未安排。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国有资本经营预算未安排。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上级国有资本经营预算安排的转移支付资金未安排。</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单位资金30.00万元，占26.89%，比上年预算减少5.02万元，下降14.33%，主要原因是</w:t>
      </w:r>
      <w:r>
        <w:rPr>
          <w:rFonts w:hint="eastAsia" w:ascii="仿宋_GB2312" w:hAnsi="宋体" w:eastAsia="仿宋_GB2312" w:cs="宋体"/>
          <w:color w:val="auto"/>
          <w:kern w:val="0"/>
          <w:sz w:val="32"/>
          <w:szCs w:val="32"/>
          <w:lang w:val="en-US" w:eastAsia="zh-CN"/>
        </w:rPr>
        <w:t>医院缴费收入</w:t>
      </w:r>
      <w:r>
        <w:rPr>
          <w:rFonts w:hint="eastAsia" w:ascii="仿宋_GB2312" w:hAnsi="宋体" w:eastAsia="仿宋_GB2312" w:cs="宋体"/>
          <w:color w:val="auto"/>
          <w:kern w:val="0"/>
          <w:sz w:val="32"/>
          <w:szCs w:val="32"/>
        </w:rPr>
        <w:t>减少，因此本年预算较上年减少</w:t>
      </w:r>
      <w:r>
        <w:rPr>
          <w:rFonts w:hint="eastAsia" w:ascii="仿宋_GB2312" w:hAnsi="宋体" w:eastAsia="仿宋_GB2312" w:cs="宋体"/>
          <w:color w:val="auto"/>
          <w:kern w:val="0"/>
          <w:sz w:val="32"/>
          <w:szCs w:val="32"/>
          <w:lang w:eastAsia="zh-CN"/>
        </w:rPr>
        <w:t>。</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三、关于托克逊县红十字会单位2024年支出预算情况说明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托克逊县红十字会单位2024年支出预算111.58万元，其中：</w:t>
      </w:r>
    </w:p>
    <w:p>
      <w:pPr>
        <w:spacing w:line="560" w:lineRule="exact"/>
        <w:ind w:firstLine="640" w:firstLineChars="200"/>
        <w:rPr>
          <w:rFonts w:ascii="仿宋_GB2312" w:hAnsi="宋体" w:eastAsia="仿宋_GB2312" w:cs="宋体"/>
          <w:b/>
          <w:color w:val="auto"/>
          <w:kern w:val="0"/>
          <w:sz w:val="32"/>
          <w:szCs w:val="32"/>
        </w:rPr>
      </w:pPr>
      <w:r>
        <w:rPr>
          <w:rFonts w:hint="eastAsia" w:ascii="仿宋_GB2312" w:hAnsi="宋体" w:eastAsia="仿宋_GB2312" w:cs="宋体"/>
          <w:color w:val="auto"/>
          <w:kern w:val="0"/>
          <w:sz w:val="32"/>
          <w:szCs w:val="32"/>
        </w:rPr>
        <w:t>基本支出81.58万元，占73.11%，比上年预算减少4.01万元，下降4.69%，主要原因是职业年金由政府预算代列不在单位预算中体现，因此基本支出较上年有所下降。</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项目支出30.00万元，占26.89%，比上年预算减少5.02万元，下降14.33%，主要原因是</w:t>
      </w:r>
      <w:r>
        <w:rPr>
          <w:rFonts w:hint="eastAsia" w:ascii="仿宋_GB2312" w:hAnsi="宋体" w:eastAsia="仿宋_GB2312" w:cs="宋体"/>
          <w:color w:val="auto"/>
          <w:kern w:val="0"/>
          <w:sz w:val="32"/>
          <w:szCs w:val="32"/>
          <w:lang w:val="en-US" w:eastAsia="zh-CN"/>
        </w:rPr>
        <w:t>单位资金</w:t>
      </w:r>
      <w:r>
        <w:rPr>
          <w:rFonts w:hint="eastAsia" w:ascii="仿宋_GB2312" w:hAnsi="宋体" w:eastAsia="仿宋_GB2312" w:cs="宋体"/>
          <w:color w:val="auto"/>
          <w:kern w:val="0"/>
          <w:sz w:val="32"/>
          <w:szCs w:val="32"/>
        </w:rPr>
        <w:t>其他资金收入</w:t>
      </w:r>
      <w:r>
        <w:rPr>
          <w:rFonts w:hint="eastAsia" w:ascii="仿宋_GB2312" w:hAnsi="宋体" w:eastAsia="仿宋_GB2312" w:cs="宋体"/>
          <w:color w:val="auto"/>
          <w:kern w:val="0"/>
          <w:sz w:val="32"/>
          <w:szCs w:val="32"/>
          <w:lang w:val="en-US" w:eastAsia="zh-CN"/>
        </w:rPr>
        <w:t>项目</w:t>
      </w:r>
      <w:r>
        <w:rPr>
          <w:rFonts w:hint="eastAsia" w:ascii="仿宋_GB2312" w:hAnsi="宋体" w:eastAsia="仿宋_GB2312" w:cs="宋体"/>
          <w:color w:val="auto"/>
          <w:kern w:val="0"/>
          <w:sz w:val="32"/>
          <w:szCs w:val="32"/>
        </w:rPr>
        <w:t>收入减少，因此预算较上年有所减少。</w:t>
      </w:r>
    </w:p>
    <w:p>
      <w:pPr>
        <w:spacing w:line="560" w:lineRule="exact"/>
        <w:ind w:firstLine="643" w:firstLineChars="200"/>
        <w:rPr>
          <w:rFonts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四、关于托克逊县红十字会单位2024年财政拨款收支预算情况的总体说明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2024年财政拨款收支总预算81.58万元。</w:t>
      </w:r>
    </w:p>
    <w:p>
      <w:pPr>
        <w:spacing w:line="560" w:lineRule="exact"/>
        <w:ind w:firstLine="616" w:firstLineChars="200"/>
        <w:rPr>
          <w:rFonts w:ascii="仿宋_GB2312" w:hAnsi="宋体" w:eastAsia="仿宋_GB2312" w:cs="宋体"/>
          <w:b/>
          <w:color w:val="auto"/>
          <w:spacing w:val="-6"/>
          <w:kern w:val="0"/>
          <w:sz w:val="32"/>
          <w:szCs w:val="32"/>
        </w:rPr>
      </w:pPr>
      <w:r>
        <w:rPr>
          <w:rFonts w:hint="eastAsia" w:ascii="仿宋_GB2312" w:hAnsi="宋体" w:eastAsia="仿宋_GB2312" w:cs="宋体"/>
          <w:color w:val="auto"/>
          <w:spacing w:val="-6"/>
          <w:kern w:val="0"/>
          <w:sz w:val="32"/>
          <w:szCs w:val="32"/>
        </w:rPr>
        <w:t>收入全部为一般公共预算拨款，无政府性基金预算拨款和国有资本经营预算。</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收入预算包括：一般公共预算拨款81.58万元。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社会保障和就业支出70.87万元，主要用于保障单位正常运行的人员经费、公用经费支出及单位人员社保缴费支出;卫生健康支出4.14万元，主要用于单位人员医疗保险缴费支出;住房保障支出6.57万元，主要用于单位人员住房公积金缴费支出。</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五、关于托克逊县红十字会单位2024年一般公共预算当年拨款情况说明</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（一）一般公共预算当年拨款规模变化情况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托克逊县红十字会单位2024年一般公共预算拨款合计81.58万元，其中：</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基本支出81.58万元，比上年预算减少4.01万元，下降4.69%。主要原因是：职业年金由政府预算代列不在单位预算中体现，因此一般公共预算财政拨款较上年有所下降。</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项目支出0.00万元，比上年预算增加0.00万元，增长0.00%。主要原因是：我单位未安排项目支出预算。</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（二）一般公共预算当年拨款结构情况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1.社会保障和就业支出（类）70.87万元，占86.87%。</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2.卫生健康支出（类）4.14万元，占5.07%。</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3.住房保障支出（类）6.57万元，占8.0</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（三）一般公共预算当年拨款具体使用情况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社会保障和就业支出（类）行政事业单位养老支出（款）行政单位离退休（项）：2024年预算数为3.18万元，比上年预算增加1.13万元，增长55.12%，主要原因是：2024年度有新增退休人员1人，退休人员全年绩效奖上调等原因导致预算较上年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2.社会保障和就业支出（类）行政事业单位养老支出（款）机关事业单位基本养老保险缴费支出（项）：2024年预算数为8.20万元，比上年预算减少0.06万元，下降0.73%，主要原因是：因我单位有人员</w:t>
      </w:r>
      <w:r>
        <w:rPr>
          <w:rFonts w:hint="eastAsia" w:ascii="仿宋_GB2312" w:hAnsi="宋体" w:eastAsia="仿宋_GB2312" w:cs="宋体"/>
          <w:color w:val="auto"/>
          <w:kern w:val="0"/>
          <w:sz w:val="32"/>
          <w:szCs w:val="32"/>
          <w:lang w:val="en-US" w:eastAsia="zh-CN"/>
        </w:rPr>
        <w:t>对</w:t>
      </w:r>
      <w:r>
        <w:rPr>
          <w:rFonts w:hint="eastAsia" w:ascii="仿宋_GB2312" w:hAnsi="宋体" w:eastAsia="仿宋_GB2312" w:cs="宋体"/>
          <w:color w:val="auto"/>
          <w:kern w:val="0"/>
          <w:sz w:val="32"/>
          <w:szCs w:val="32"/>
        </w:rPr>
        <w:t>调，新增人员（工资待遇：一级主任科员）养老保险基数比原来人员（工资待遇：四级调研员）少，因此养老保险预算较上年有所下降。</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3.社会保障和就业支出（类）红十字事业（款）行政运行（项）：2024年预算数为59.49万元，比上年预算减少0.95万元，下降1.57%，主要原因是：因我单位有人员</w:t>
      </w:r>
      <w:r>
        <w:rPr>
          <w:rFonts w:hint="eastAsia" w:ascii="仿宋_GB2312" w:hAnsi="宋体" w:eastAsia="仿宋_GB2312" w:cs="宋体"/>
          <w:color w:val="auto"/>
          <w:kern w:val="0"/>
          <w:sz w:val="32"/>
          <w:szCs w:val="32"/>
          <w:lang w:val="en-US" w:eastAsia="zh-CN"/>
        </w:rPr>
        <w:t>变动</w:t>
      </w:r>
      <w:r>
        <w:rPr>
          <w:rFonts w:hint="eastAsia" w:ascii="仿宋_GB2312" w:hAnsi="宋体" w:eastAsia="仿宋_GB2312" w:cs="宋体"/>
          <w:color w:val="auto"/>
          <w:kern w:val="0"/>
          <w:sz w:val="32"/>
          <w:szCs w:val="32"/>
        </w:rPr>
        <w:t>，新增人员工资标准（工资待遇：一级主任科员），调出人员（工资待遇：四级调研员），因此行政运行预算比上年减少。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4.卫生健康支出（类）行政事业单位医疗（款）行政单位医疗（项）：2024年预算数为3.48万元，比上年预算减少0.03万元，下降0.85%，主要原因是：因我单位有人员</w:t>
      </w:r>
      <w:r>
        <w:rPr>
          <w:rFonts w:hint="eastAsia" w:ascii="仿宋_GB2312" w:hAnsi="宋体" w:eastAsia="仿宋_GB2312" w:cs="宋体"/>
          <w:color w:val="auto"/>
          <w:kern w:val="0"/>
          <w:sz w:val="32"/>
          <w:szCs w:val="32"/>
          <w:lang w:val="en-US" w:eastAsia="zh-CN"/>
        </w:rPr>
        <w:t>变动</w:t>
      </w:r>
      <w:r>
        <w:rPr>
          <w:rFonts w:hint="eastAsia" w:ascii="仿宋_GB2312" w:hAnsi="宋体" w:eastAsia="仿宋_GB2312" w:cs="宋体"/>
          <w:color w:val="auto"/>
          <w:kern w:val="0"/>
          <w:sz w:val="32"/>
          <w:szCs w:val="32"/>
        </w:rPr>
        <w:t>，新增人员（工资待遇：一级主任科员），调出人员（工资待遇：四级调研员），因此医疗保险预算比上年减少。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5.卫生健康支出（类）行政事业单位医疗（款）公务员医疗补助（项）：2024年预算数为0.66万元，比上年预算减少0.02万元，下降2.94%，主要原因是：因我单位有人员</w:t>
      </w:r>
      <w:r>
        <w:rPr>
          <w:rFonts w:hint="eastAsia" w:ascii="仿宋_GB2312" w:hAnsi="宋体" w:eastAsia="仿宋_GB2312" w:cs="宋体"/>
          <w:color w:val="auto"/>
          <w:kern w:val="0"/>
          <w:sz w:val="32"/>
          <w:szCs w:val="32"/>
          <w:lang w:val="en-US" w:eastAsia="zh-CN"/>
        </w:rPr>
        <w:t>变动</w:t>
      </w:r>
      <w:r>
        <w:rPr>
          <w:rFonts w:hint="eastAsia" w:ascii="仿宋_GB2312" w:hAnsi="宋体" w:eastAsia="仿宋_GB2312" w:cs="宋体"/>
          <w:color w:val="auto"/>
          <w:kern w:val="0"/>
          <w:sz w:val="32"/>
          <w:szCs w:val="32"/>
        </w:rPr>
        <w:t>，新增人员（工资待遇：一级主任科员），调出人员（工资待遇：四级调研员），因此医疗保险预算比上年减少。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6.住房保障支出（类）住房改革支出（款）住房公积金（项）：2024年预算数为6.57万元，比上年预算增加0.05万元，增长0.77%，主要原因是：2024年因工资调增，公积金基数标准提高，因此比上年预算增加。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7.社会保障和就业支出（类）行政事业单位养老支出（款）机关事业单位职业年金缴费支出（项）：2024年预算数为0.00万元，比上年预算减少4.13万元，下降100.00%，主要原因是：本年度职业年金预算由政府（财政）预算代列，因此本单位该项预算未安排。</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六、关于托克逊县红十字会单位2024年一般公共预算基本支出情况说明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托克逊县红十字会单位2024年一般公共预算基本支出81.58万元，其中：</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人员经费77.35万元，主要包括：基本工资、津贴补贴、奖金、机关事业单位基本养老保险缴费、职工基本医疗保险缴费、公务员医疗补助缴费、其他社会保障缴费、住房公积金、其他工资福利支出、退休费。</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公用经费4.23万元，主要包括：办公费、印刷费、电费、邮电费、差旅费、工会经费。</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七、关于托克逊县红十字会单位2024年一般公共预算项目支出情况说明</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托克逊县红十字会单位2024年没有使用一般公共预算项目支出，一般公共预算项目支出情况表为空表。</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八、关于托克逊县红十字会单位2024年政府性基金预算拨款情况说明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托克逊县红十字会2024年没有使用政府性基金预算拨款安排的支出，政府性基金预算支出情况表为空表。</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九、关于托克逊县红十字会单位2024年国有资本经营预算拨款情况说明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托克逊县红十字会2024年没有使用国有资本经营预算拨款安排的支出，国有资本经营预算支出情况表为空表。</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十、关于托克逊县红十字会单位2024年财政拨款“三公”经费预算情况说明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托克逊县红十字会单位2024年财政拨款“三公”经费数为0.00万元，其中：因公出国（境）费0.00万元，公务用车购置费0.00万元，公务用车运行费0.00万元，公务接待费0.00万元。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十一、关于托克逊县红十字会单位2024年上年结转结余预算情况说明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托克逊县红十字会单位2024年无上年结转结余预算的支出，结转结余预算支出情况表为空表。</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十二、其他重要事项的情况说明</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（一）单位运行经费情况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托克逊县红十字会单位2024年的机关运行经费财政拨款预算4.23万元，比上年预算减少1.26万元，下降22.95%。主要原因是</w:t>
      </w:r>
      <w:r>
        <w:rPr>
          <w:rFonts w:hint="eastAsia" w:ascii="仿宋_GB2312" w:hAnsi="宋体" w:eastAsia="仿宋_GB2312" w:cs="宋体"/>
          <w:color w:val="auto"/>
          <w:kern w:val="0"/>
          <w:sz w:val="32"/>
          <w:szCs w:val="32"/>
          <w:lang w:val="en-US" w:eastAsia="zh-CN"/>
        </w:rPr>
        <w:t>厉行节约、压减开支</w:t>
      </w:r>
      <w:r>
        <w:rPr>
          <w:rFonts w:hint="eastAsia" w:ascii="仿宋_GB2312" w:hAnsi="宋体" w:eastAsia="仿宋_GB2312" w:cs="宋体"/>
          <w:color w:val="auto"/>
          <w:kern w:val="0"/>
          <w:sz w:val="32"/>
          <w:szCs w:val="32"/>
        </w:rPr>
        <w:t>，因此机关运行费较上年预算减少。</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（二）政府采购情况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2024年，托克逊县红十字会单位政府采购预算1.44万元，其中：政府采购货物预算1.41万元，政府采购工程预算0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万元，政府采购服务预算0.3</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仿宋_GB2312" w:eastAsia="仿宋_GB2312"/>
          <w:color w:val="auto"/>
          <w:sz w:val="32"/>
        </w:rPr>
        <w:t>2024年，托克逊县红十字会单位面向中小企业预留政府采购项目预算金额0</w:t>
      </w:r>
      <w:r>
        <w:rPr>
          <w:rFonts w:hint="eastAsia" w:ascii="仿宋_GB2312" w:hAnsi="黑体" w:eastAsia="仿宋_GB2312"/>
          <w:color w:val="auto"/>
          <w:sz w:val="32"/>
          <w:szCs w:val="32"/>
          <w:lang w:val="en-US" w:eastAsia="zh-CN"/>
        </w:rPr>
        <w:t>.00</w:t>
      </w:r>
      <w:r>
        <w:rPr>
          <w:rFonts w:hint="eastAsia" w:ascii="仿宋_GB2312" w:hAnsi="仿宋_GB2312" w:eastAsia="仿宋_GB2312"/>
          <w:color w:val="auto"/>
          <w:sz w:val="32"/>
        </w:rPr>
        <w:t>万元，小微企业预留政府采购项目预算金额0</w:t>
      </w:r>
      <w:r>
        <w:rPr>
          <w:rFonts w:hint="eastAsia" w:ascii="仿宋_GB2312" w:hAnsi="黑体" w:eastAsia="仿宋_GB2312"/>
          <w:color w:val="auto"/>
          <w:sz w:val="32"/>
          <w:szCs w:val="32"/>
          <w:lang w:val="en-US" w:eastAsia="zh-CN"/>
        </w:rPr>
        <w:t>.00</w:t>
      </w:r>
      <w:r>
        <w:rPr>
          <w:rFonts w:hint="eastAsia" w:ascii="仿宋_GB2312" w:hAnsi="仿宋_GB2312" w:eastAsia="仿宋_GB2312"/>
          <w:color w:val="auto"/>
          <w:sz w:val="32"/>
        </w:rPr>
        <w:t>万元。</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（三）国有资产占用使用情况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截至2023年底，托克逊县红十字会单位及下属各预算单位占用使用国有资产总体情况为：</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1.房屋0平方米，价值0万元。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2.车辆0辆，价值0万元；其中：一般公务用车0辆，价值0万元；执法执勤用车0辆，价值0万元；其他车辆0辆，价值0万元。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3.办公家具价值0万元。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4.其他资产价值0万元。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单位价值50万元以上大型设备0台，单位价值100万元以上大型设备0台。</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2024年单位预算未安排购置车辆经费，安排购置50万元以上大型设备0台，单位价值100万元以上大型设备0台。</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（四）预算绩效情况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2024年，本单位预算绩效管理整体预算绩效目标1个，涉及金额</w:t>
      </w:r>
      <w:r>
        <w:rPr>
          <w:rFonts w:ascii="仿宋_GB2312" w:hAnsi="宋体" w:eastAsia="仿宋_GB2312" w:cs="宋体"/>
          <w:color w:val="auto"/>
          <w:kern w:val="0"/>
          <w:sz w:val="32"/>
          <w:szCs w:val="32"/>
        </w:rPr>
        <w:t>111.54</w:t>
      </w:r>
      <w:r>
        <w:rPr>
          <w:rFonts w:hint="eastAsia" w:ascii="仿宋_GB2312" w:hAnsi="宋体" w:eastAsia="仿宋_GB2312" w:cs="宋体"/>
          <w:color w:val="auto"/>
          <w:kern w:val="0"/>
          <w:sz w:val="32"/>
          <w:szCs w:val="32"/>
        </w:rPr>
        <w:t>万元；当年财政拨款项目0个，涉及预算金额0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万元；当年非财政拨款项目1个，涉及预算金额30.00万元。具体情况见下表：</w:t>
      </w:r>
    </w:p>
    <w:p>
      <w:pPr>
        <w:widowControl/>
        <w:spacing w:line="600" w:lineRule="exact"/>
        <w:rPr>
          <w:rFonts w:ascii="仿宋_GB2312" w:hAnsi="宋体" w:eastAsia="仿宋_GB2312" w:cs="宋体"/>
          <w:color w:val="auto"/>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783" w:type="dxa"/>
        <w:jc w:val="center"/>
        <w:tblLayout w:type="autofit"/>
        <w:tblCellMar>
          <w:top w:w="0" w:type="dxa"/>
          <w:left w:w="108" w:type="dxa"/>
          <w:bottom w:w="0" w:type="dxa"/>
          <w:right w:w="108" w:type="dxa"/>
        </w:tblCellMar>
      </w:tblPr>
      <w:tblGrid>
        <w:gridCol w:w="1098"/>
        <w:gridCol w:w="1394"/>
        <w:gridCol w:w="2558"/>
        <w:gridCol w:w="1345"/>
        <w:gridCol w:w="2072"/>
        <w:gridCol w:w="1316"/>
      </w:tblGrid>
      <w:tr>
        <w:tblPrEx>
          <w:tblCellMar>
            <w:top w:w="0" w:type="dxa"/>
            <w:left w:w="108" w:type="dxa"/>
            <w:bottom w:w="0" w:type="dxa"/>
            <w:right w:w="108" w:type="dxa"/>
          </w:tblCellMar>
        </w:tblPrEx>
        <w:trPr>
          <w:trHeight w:val="878" w:hRule="atLeast"/>
          <w:jc w:val="center"/>
        </w:trPr>
        <w:tc>
          <w:tcPr>
            <w:tcW w:w="9783" w:type="dxa"/>
            <w:gridSpan w:val="6"/>
            <w:tcBorders>
              <w:top w:val="nil"/>
              <w:left w:val="nil"/>
              <w:bottom w:val="nil"/>
              <w:right w:val="nil"/>
            </w:tcBorders>
            <w:shd w:val="clear" w:color="auto" w:fill="auto"/>
            <w:vAlign w:val="center"/>
          </w:tcPr>
          <w:p>
            <w:pPr>
              <w:widowControl/>
              <w:jc w:val="center"/>
              <w:rPr>
                <w:rFonts w:ascii="华文中宋" w:hAnsi="华文中宋" w:eastAsia="华文中宋" w:cs="宋体"/>
                <w:b/>
                <w:bCs/>
                <w:color w:val="auto"/>
                <w:kern w:val="0"/>
                <w:sz w:val="40"/>
                <w:szCs w:val="40"/>
              </w:rPr>
            </w:pPr>
            <w:r>
              <w:rPr>
                <w:rFonts w:hint="eastAsia" w:ascii="仿宋_GB2312" w:hAnsi="宋体" w:eastAsia="仿宋_GB2312" w:cs="仿宋_GB2312"/>
                <w:b/>
                <w:color w:val="auto"/>
                <w:kern w:val="0"/>
                <w:sz w:val="40"/>
                <w:szCs w:val="40"/>
                <w:lang w:bidi="ar"/>
              </w:rPr>
              <w:t>单位整体绩效目标表</w:t>
            </w:r>
          </w:p>
        </w:tc>
      </w:tr>
      <w:tr>
        <w:tblPrEx>
          <w:tblCellMar>
            <w:top w:w="0" w:type="dxa"/>
            <w:left w:w="108" w:type="dxa"/>
            <w:bottom w:w="0" w:type="dxa"/>
            <w:right w:w="108" w:type="dxa"/>
          </w:tblCellMar>
        </w:tblPrEx>
        <w:trPr>
          <w:trHeight w:val="490" w:hRule="atLeast"/>
          <w:jc w:val="center"/>
        </w:trPr>
        <w:tc>
          <w:tcPr>
            <w:tcW w:w="9783" w:type="dxa"/>
            <w:gridSpan w:val="6"/>
            <w:tcBorders>
              <w:top w:val="nil"/>
              <w:left w:val="nil"/>
              <w:bottom w:val="nil"/>
              <w:right w:val="nil"/>
            </w:tcBorders>
            <w:shd w:val="clear" w:color="auto" w:fill="auto"/>
            <w:vAlign w:val="center"/>
          </w:tcPr>
          <w:p>
            <w:pPr>
              <w:widowControl/>
              <w:jc w:val="center"/>
              <w:rPr>
                <w:rFonts w:ascii="宋体" w:hAnsi="宋体" w:cs="宋体"/>
                <w:b/>
                <w:bCs/>
                <w:color w:val="auto"/>
                <w:kern w:val="0"/>
                <w:sz w:val="24"/>
              </w:rPr>
            </w:pPr>
            <w:r>
              <w:rPr>
                <w:rFonts w:hint="eastAsia" w:ascii="宋体" w:hAnsi="宋体" w:cs="宋体"/>
                <w:color w:val="auto"/>
                <w:sz w:val="24"/>
              </w:rPr>
              <w:t>（2024年）</w:t>
            </w:r>
          </w:p>
        </w:tc>
      </w:tr>
      <w:tr>
        <w:tblPrEx>
          <w:tblCellMar>
            <w:top w:w="0" w:type="dxa"/>
            <w:left w:w="108" w:type="dxa"/>
            <w:bottom w:w="0" w:type="dxa"/>
            <w:right w:w="108" w:type="dxa"/>
          </w:tblCellMar>
        </w:tblPrEx>
        <w:trPr>
          <w:trHeight w:val="654" w:hRule="atLeast"/>
          <w:jc w:val="center"/>
        </w:trPr>
        <w:tc>
          <w:tcPr>
            <w:tcW w:w="24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单位名称（盖章）</w:t>
            </w:r>
          </w:p>
        </w:tc>
        <w:tc>
          <w:tcPr>
            <w:tcW w:w="7291"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托克逊县红十字会</w:t>
            </w:r>
          </w:p>
        </w:tc>
      </w:tr>
      <w:tr>
        <w:tblPrEx>
          <w:tblCellMar>
            <w:top w:w="0" w:type="dxa"/>
            <w:left w:w="108" w:type="dxa"/>
            <w:bottom w:w="0" w:type="dxa"/>
            <w:right w:w="108" w:type="dxa"/>
          </w:tblCellMar>
        </w:tblPrEx>
        <w:trPr>
          <w:trHeight w:val="654" w:hRule="atLeast"/>
          <w:jc w:val="center"/>
        </w:trPr>
        <w:tc>
          <w:tcPr>
            <w:tcW w:w="249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单位联系人</w:t>
            </w:r>
          </w:p>
        </w:tc>
        <w:tc>
          <w:tcPr>
            <w:tcW w:w="39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娜地热·阿帕尔</w:t>
            </w:r>
          </w:p>
        </w:tc>
        <w:tc>
          <w:tcPr>
            <w:tcW w:w="20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18599167204</w:t>
            </w:r>
          </w:p>
        </w:tc>
      </w:tr>
      <w:tr>
        <w:tblPrEx>
          <w:tblCellMar>
            <w:top w:w="0" w:type="dxa"/>
            <w:left w:w="108" w:type="dxa"/>
            <w:bottom w:w="0" w:type="dxa"/>
            <w:right w:w="108" w:type="dxa"/>
          </w:tblCellMar>
        </w:tblPrEx>
        <w:trPr>
          <w:trHeight w:val="3392" w:hRule="atLeast"/>
          <w:jc w:val="center"/>
        </w:trPr>
        <w:tc>
          <w:tcPr>
            <w:tcW w:w="24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年度绩效目标</w:t>
            </w:r>
          </w:p>
        </w:tc>
        <w:tc>
          <w:tcPr>
            <w:tcW w:w="7291"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1.开展卫生救护和防病知识的宣传普及和培训工作，并组织动员群众参加意外伤害和自然灾害的现场救护。2.开展好“博爱送万家”活动。拓展关爱领域，实施人道救助，广泛宣传、动员社会各界爱心人士善举，开展献爱心活动；</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3.持续开展红十字三项基金救助（“小天使基金”（白血病）项目、“天使阳光基金”（先心病）项目、“嫣然天使基金”（唇腭裂）项目）等项目，做好宣传工作，让更多的患儿受益。</w:t>
            </w:r>
            <w:r>
              <w:rPr>
                <w:rFonts w:hint="eastAsia" w:ascii="宋体" w:hAnsi="宋体" w:cs="宋体"/>
                <w:color w:val="auto"/>
                <w:kern w:val="0"/>
                <w:sz w:val="18"/>
                <w:szCs w:val="18"/>
              </w:rPr>
              <w:br w:type="textWrapping"/>
            </w:r>
            <w:r>
              <w:rPr>
                <w:rFonts w:hint="eastAsia" w:ascii="宋体" w:hAnsi="宋体" w:cs="宋体"/>
                <w:color w:val="auto"/>
                <w:kern w:val="0"/>
                <w:sz w:val="18"/>
                <w:szCs w:val="18"/>
              </w:rPr>
              <w:t>4.组织和管理会员、志愿工作者开展符合红十字会宗旨的社会服务工作。</w:t>
            </w:r>
            <w:r>
              <w:rPr>
                <w:rFonts w:hint="eastAsia" w:ascii="宋体" w:hAnsi="宋体" w:cs="宋体"/>
                <w:color w:val="auto"/>
                <w:kern w:val="0"/>
                <w:sz w:val="18"/>
                <w:szCs w:val="18"/>
              </w:rPr>
              <w:br w:type="textWrapping"/>
            </w:r>
            <w:r>
              <w:rPr>
                <w:rFonts w:hint="eastAsia" w:ascii="宋体" w:hAnsi="宋体" w:cs="宋体"/>
                <w:color w:val="auto"/>
                <w:kern w:val="0"/>
                <w:sz w:val="18"/>
                <w:szCs w:val="18"/>
              </w:rPr>
              <w:t>5.开展备灾救灾工作，在自然灾害和突发事件中开展救援救护和救助，及时向灾区群众和受难者提供急需的人道主义援助。6.大力宣传和全力推动造血干细胞捐献、无偿献血、人体器官与遗体捐献工作，感召激励更多的人加入到“奉献爱心、挽救生命”的红十字事业中。</w:t>
            </w:r>
          </w:p>
        </w:tc>
      </w:tr>
      <w:tr>
        <w:tblPrEx>
          <w:tblCellMar>
            <w:top w:w="0" w:type="dxa"/>
            <w:left w:w="108" w:type="dxa"/>
            <w:bottom w:w="0" w:type="dxa"/>
            <w:right w:w="108" w:type="dxa"/>
          </w:tblCellMar>
        </w:tblPrEx>
        <w:trPr>
          <w:trHeight w:val="613" w:hRule="atLeast"/>
          <w:jc w:val="center"/>
        </w:trPr>
        <w:tc>
          <w:tcPr>
            <w:tcW w:w="249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年度预算（万元）</w:t>
            </w:r>
          </w:p>
        </w:tc>
        <w:tc>
          <w:tcPr>
            <w:tcW w:w="39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资金来源</w:t>
            </w:r>
          </w:p>
        </w:tc>
        <w:tc>
          <w:tcPr>
            <w:tcW w:w="33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资金总额（万元）</w:t>
            </w:r>
          </w:p>
        </w:tc>
      </w:tr>
      <w:tr>
        <w:tblPrEx>
          <w:tblCellMar>
            <w:top w:w="0" w:type="dxa"/>
            <w:left w:w="108" w:type="dxa"/>
            <w:bottom w:w="0" w:type="dxa"/>
            <w:right w:w="108" w:type="dxa"/>
          </w:tblCellMar>
        </w:tblPrEx>
        <w:trPr>
          <w:trHeight w:val="449" w:hRule="atLeast"/>
          <w:jc w:val="center"/>
        </w:trPr>
        <w:tc>
          <w:tcPr>
            <w:tcW w:w="249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p>
        </w:tc>
        <w:tc>
          <w:tcPr>
            <w:tcW w:w="2558"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财政资金（万元）</w:t>
            </w:r>
          </w:p>
        </w:tc>
        <w:tc>
          <w:tcPr>
            <w:tcW w:w="13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上级安排</w:t>
            </w:r>
          </w:p>
        </w:tc>
        <w:tc>
          <w:tcPr>
            <w:tcW w:w="33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490" w:hRule="atLeast"/>
          <w:jc w:val="center"/>
        </w:trPr>
        <w:tc>
          <w:tcPr>
            <w:tcW w:w="249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p>
        </w:tc>
        <w:tc>
          <w:tcPr>
            <w:tcW w:w="2558"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3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本级安排</w:t>
            </w:r>
          </w:p>
        </w:tc>
        <w:tc>
          <w:tcPr>
            <w:tcW w:w="33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81.54</w:t>
            </w:r>
          </w:p>
        </w:tc>
      </w:tr>
      <w:tr>
        <w:tblPrEx>
          <w:tblCellMar>
            <w:top w:w="0" w:type="dxa"/>
            <w:left w:w="108" w:type="dxa"/>
            <w:bottom w:w="0" w:type="dxa"/>
            <w:right w:w="108" w:type="dxa"/>
          </w:tblCellMar>
        </w:tblPrEx>
        <w:trPr>
          <w:trHeight w:val="490" w:hRule="atLeast"/>
          <w:jc w:val="center"/>
        </w:trPr>
        <w:tc>
          <w:tcPr>
            <w:tcW w:w="249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p>
        </w:tc>
        <w:tc>
          <w:tcPr>
            <w:tcW w:w="25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其他资金（万元）</w:t>
            </w:r>
          </w:p>
        </w:tc>
        <w:tc>
          <w:tcPr>
            <w:tcW w:w="13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w:t>
            </w:r>
          </w:p>
        </w:tc>
        <w:tc>
          <w:tcPr>
            <w:tcW w:w="33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30.00</w:t>
            </w:r>
          </w:p>
        </w:tc>
      </w:tr>
      <w:tr>
        <w:tblPrEx>
          <w:tblCellMar>
            <w:top w:w="0" w:type="dxa"/>
            <w:left w:w="108" w:type="dxa"/>
            <w:bottom w:w="0" w:type="dxa"/>
            <w:right w:w="108" w:type="dxa"/>
          </w:tblCellMar>
        </w:tblPrEx>
        <w:trPr>
          <w:trHeight w:val="551" w:hRule="atLeast"/>
          <w:jc w:val="center"/>
        </w:trPr>
        <w:tc>
          <w:tcPr>
            <w:tcW w:w="109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一级指标</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二级指标</w:t>
            </w:r>
          </w:p>
        </w:tc>
        <w:tc>
          <w:tcPr>
            <w:tcW w:w="25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三级指标</w:t>
            </w:r>
          </w:p>
        </w:tc>
        <w:tc>
          <w:tcPr>
            <w:tcW w:w="13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指标值</w:t>
            </w:r>
          </w:p>
        </w:tc>
        <w:tc>
          <w:tcPr>
            <w:tcW w:w="20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分值权重</w:t>
            </w:r>
          </w:p>
        </w:tc>
      </w:tr>
      <w:tr>
        <w:tblPrEx>
          <w:tblCellMar>
            <w:top w:w="0" w:type="dxa"/>
            <w:left w:w="108" w:type="dxa"/>
            <w:bottom w:w="0" w:type="dxa"/>
            <w:right w:w="108" w:type="dxa"/>
          </w:tblCellMar>
        </w:tblPrEx>
        <w:trPr>
          <w:trHeight w:val="490" w:hRule="atLeast"/>
          <w:jc w:val="center"/>
        </w:trPr>
        <w:tc>
          <w:tcPr>
            <w:tcW w:w="109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履职效能</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5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“博爱送万家活动”慰问户数</w:t>
            </w:r>
          </w:p>
        </w:tc>
        <w:tc>
          <w:tcPr>
            <w:tcW w:w="13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≧800户</w:t>
            </w:r>
          </w:p>
        </w:tc>
        <w:tc>
          <w:tcPr>
            <w:tcW w:w="20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w:t>
            </w:r>
          </w:p>
        </w:tc>
      </w:tr>
      <w:tr>
        <w:tblPrEx>
          <w:tblCellMar>
            <w:top w:w="0" w:type="dxa"/>
            <w:left w:w="108" w:type="dxa"/>
            <w:bottom w:w="0" w:type="dxa"/>
            <w:right w:w="108" w:type="dxa"/>
          </w:tblCellMar>
        </w:tblPrEx>
        <w:trPr>
          <w:trHeight w:val="490" w:hRule="atLeast"/>
          <w:jc w:val="center"/>
        </w:trPr>
        <w:tc>
          <w:tcPr>
            <w:tcW w:w="1098"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5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造血干细胞采集数量</w:t>
            </w:r>
          </w:p>
        </w:tc>
        <w:tc>
          <w:tcPr>
            <w:tcW w:w="13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≧30例</w:t>
            </w:r>
          </w:p>
        </w:tc>
        <w:tc>
          <w:tcPr>
            <w:tcW w:w="20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2024年度工作计划、上级单位工作文件</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490" w:hRule="atLeast"/>
          <w:jc w:val="center"/>
        </w:trPr>
        <w:tc>
          <w:tcPr>
            <w:tcW w:w="1098"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5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应急救护培训人次</w:t>
            </w:r>
          </w:p>
        </w:tc>
        <w:tc>
          <w:tcPr>
            <w:tcW w:w="13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≧4000人次</w:t>
            </w:r>
          </w:p>
        </w:tc>
        <w:tc>
          <w:tcPr>
            <w:tcW w:w="20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490" w:hRule="atLeast"/>
          <w:jc w:val="center"/>
        </w:trPr>
        <w:tc>
          <w:tcPr>
            <w:tcW w:w="1098"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5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三项救助病例申报数</w:t>
            </w:r>
          </w:p>
        </w:tc>
        <w:tc>
          <w:tcPr>
            <w:tcW w:w="13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≧2例</w:t>
            </w:r>
          </w:p>
        </w:tc>
        <w:tc>
          <w:tcPr>
            <w:tcW w:w="20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551" w:hRule="atLeast"/>
          <w:jc w:val="center"/>
        </w:trPr>
        <w:tc>
          <w:tcPr>
            <w:tcW w:w="1098"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5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造血干细胞志愿捐献入库率</w:t>
            </w:r>
          </w:p>
        </w:tc>
        <w:tc>
          <w:tcPr>
            <w:tcW w:w="13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≧90%</w:t>
            </w:r>
          </w:p>
        </w:tc>
        <w:tc>
          <w:tcPr>
            <w:tcW w:w="20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490" w:hRule="atLeast"/>
          <w:jc w:val="center"/>
        </w:trPr>
        <w:tc>
          <w:tcPr>
            <w:tcW w:w="109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服务对象满意度</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服务对象满意度</w:t>
            </w:r>
          </w:p>
        </w:tc>
        <w:tc>
          <w:tcPr>
            <w:tcW w:w="25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参与应急救护培训人员满意度</w:t>
            </w:r>
          </w:p>
        </w:tc>
        <w:tc>
          <w:tcPr>
            <w:tcW w:w="13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≥90%</w:t>
            </w:r>
          </w:p>
        </w:tc>
        <w:tc>
          <w:tcPr>
            <w:tcW w:w="20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r>
    </w:tbl>
    <w:p>
      <w:pPr>
        <w:rPr>
          <w:color w:val="auto"/>
        </w:rPr>
      </w:pPr>
    </w:p>
    <w:p>
      <w:pPr>
        <w:widowControl/>
        <w:spacing w:line="560" w:lineRule="exact"/>
        <w:ind w:firstLine="630" w:firstLineChars="196"/>
        <w:jc w:val="left"/>
        <w:rPr>
          <w:rFonts w:ascii="楷体_GB2312" w:hAnsi="宋体" w:eastAsia="楷体_GB2312" w:cs="宋体"/>
          <w:b/>
          <w:color w:val="auto"/>
          <w:kern w:val="0"/>
          <w:sz w:val="32"/>
          <w:szCs w:val="32"/>
        </w:rPr>
      </w:pPr>
      <w:r>
        <w:rPr>
          <w:rFonts w:ascii="楷体_GB2312" w:hAnsi="宋体" w:eastAsia="楷体_GB2312" w:cs="宋体"/>
          <w:b/>
          <w:color w:val="auto"/>
          <w:kern w:val="0"/>
          <w:sz w:val="32"/>
          <w:szCs w:val="32"/>
        </w:rPr>
        <w:br w:type="page"/>
      </w:r>
    </w:p>
    <w:tbl>
      <w:tblPr>
        <w:tblStyle w:val="4"/>
        <w:tblW w:w="10672" w:type="dxa"/>
        <w:jc w:val="center"/>
        <w:tblLayout w:type="autofit"/>
        <w:tblCellMar>
          <w:top w:w="0" w:type="dxa"/>
          <w:left w:w="108" w:type="dxa"/>
          <w:bottom w:w="0" w:type="dxa"/>
          <w:right w:w="108" w:type="dxa"/>
        </w:tblCellMar>
      </w:tblPr>
      <w:tblGrid>
        <w:gridCol w:w="972"/>
        <w:gridCol w:w="1090"/>
        <w:gridCol w:w="2043"/>
        <w:gridCol w:w="1071"/>
        <w:gridCol w:w="1402"/>
        <w:gridCol w:w="819"/>
        <w:gridCol w:w="817"/>
        <w:gridCol w:w="994"/>
        <w:gridCol w:w="1464"/>
      </w:tblGrid>
      <w:tr>
        <w:tblPrEx>
          <w:tblCellMar>
            <w:top w:w="0" w:type="dxa"/>
            <w:left w:w="108" w:type="dxa"/>
            <w:bottom w:w="0" w:type="dxa"/>
            <w:right w:w="108" w:type="dxa"/>
          </w:tblCellMar>
        </w:tblPrEx>
        <w:trPr>
          <w:trHeight w:val="433" w:hRule="atLeast"/>
          <w:jc w:val="center"/>
        </w:trPr>
        <w:tc>
          <w:tcPr>
            <w:tcW w:w="10672"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09" w:hRule="atLeast"/>
          <w:jc w:val="center"/>
        </w:trPr>
        <w:tc>
          <w:tcPr>
            <w:tcW w:w="10672"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sz w:val="22"/>
                <w:szCs w:val="22"/>
                <w:lang w:eastAsia="zh-Hans"/>
              </w:rPr>
              <w:t>（</w:t>
            </w:r>
            <w:r>
              <w:rPr>
                <w:rFonts w:ascii="宋体" w:hAnsi="宋体" w:cs="宋体"/>
                <w:color w:val="auto"/>
                <w:sz w:val="22"/>
                <w:szCs w:val="22"/>
                <w:lang w:eastAsia="zh-Hans"/>
              </w:rPr>
              <w:t>202</w:t>
            </w:r>
            <w:r>
              <w:rPr>
                <w:rFonts w:hint="eastAsia" w:ascii="宋体" w:hAnsi="宋体" w:cs="宋体"/>
                <w:color w:val="auto"/>
                <w:sz w:val="22"/>
                <w:szCs w:val="22"/>
              </w:rPr>
              <w:t>4</w:t>
            </w:r>
            <w:r>
              <w:rPr>
                <w:rFonts w:hint="eastAsia" w:ascii="宋体" w:hAnsi="宋体" w:cs="宋体"/>
                <w:color w:val="auto"/>
                <w:sz w:val="22"/>
                <w:szCs w:val="22"/>
                <w:lang w:eastAsia="zh-Hans"/>
              </w:rPr>
              <w:t>年）</w:t>
            </w:r>
          </w:p>
        </w:tc>
      </w:tr>
      <w:tr>
        <w:tblPrEx>
          <w:tblCellMar>
            <w:top w:w="0" w:type="dxa"/>
            <w:left w:w="108" w:type="dxa"/>
            <w:bottom w:w="0" w:type="dxa"/>
            <w:right w:w="108" w:type="dxa"/>
          </w:tblCellMar>
        </w:tblPrEx>
        <w:trPr>
          <w:trHeight w:val="479" w:hRule="atLeast"/>
          <w:jc w:val="center"/>
        </w:trPr>
        <w:tc>
          <w:tcPr>
            <w:tcW w:w="20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607"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托克逊县红十字会</w:t>
            </w:r>
          </w:p>
        </w:tc>
      </w:tr>
      <w:tr>
        <w:tblPrEx>
          <w:tblCellMar>
            <w:top w:w="0" w:type="dxa"/>
            <w:left w:w="108" w:type="dxa"/>
            <w:bottom w:w="0" w:type="dxa"/>
            <w:right w:w="108" w:type="dxa"/>
          </w:tblCellMar>
        </w:tblPrEx>
        <w:trPr>
          <w:trHeight w:val="542" w:hRule="atLeast"/>
          <w:jc w:val="center"/>
        </w:trPr>
        <w:tc>
          <w:tcPr>
            <w:tcW w:w="20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533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综合业务经费</w:t>
            </w:r>
          </w:p>
        </w:tc>
        <w:tc>
          <w:tcPr>
            <w:tcW w:w="1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4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娜地热·阿帕尔</w:t>
            </w:r>
          </w:p>
        </w:tc>
      </w:tr>
      <w:tr>
        <w:tblPrEx>
          <w:tblCellMar>
            <w:top w:w="0" w:type="dxa"/>
            <w:left w:w="108" w:type="dxa"/>
            <w:bottom w:w="0" w:type="dxa"/>
            <w:right w:w="108" w:type="dxa"/>
          </w:tblCellMar>
        </w:tblPrEx>
        <w:trPr>
          <w:trHeight w:val="578" w:hRule="atLeast"/>
          <w:jc w:val="center"/>
        </w:trPr>
        <w:tc>
          <w:tcPr>
            <w:tcW w:w="20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04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30.00</w:t>
            </w:r>
          </w:p>
        </w:tc>
        <w:tc>
          <w:tcPr>
            <w:tcW w:w="140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6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c>
          <w:tcPr>
            <w:tcW w:w="99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30.00</w:t>
            </w:r>
          </w:p>
        </w:tc>
      </w:tr>
      <w:tr>
        <w:tblPrEx>
          <w:tblCellMar>
            <w:top w:w="0" w:type="dxa"/>
            <w:left w:w="108" w:type="dxa"/>
            <w:bottom w:w="0" w:type="dxa"/>
            <w:right w:w="108" w:type="dxa"/>
          </w:tblCellMar>
        </w:tblPrEx>
        <w:trPr>
          <w:trHeight w:val="1031" w:hRule="atLeast"/>
          <w:jc w:val="center"/>
        </w:trPr>
        <w:tc>
          <w:tcPr>
            <w:tcW w:w="20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607"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1.开展卫生救护和防病知识的宣传普及和培训工作，培训人数不少于4000人，并组织动员群众参加意外伤害和自然灾害的现场救护。</w:t>
            </w:r>
          </w:p>
          <w:p>
            <w:pPr>
              <w:widowControl/>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2.开展好“博爱送万家”活动1次，拓展关爱领域，实施人道救助，广泛宣传、动员社会各界爱心人士善举，开展献爱心活动。</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3.开展备灾救灾工作，在自然灾害和突发事件中开展救援救护和救助，及时向灾区群众和受难者提供急需的人道主义援助。</w:t>
            </w:r>
          </w:p>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4.大力宣传和全力推动造血干细胞捐献、无偿献血、人体器官与遗体捐献工作，发放宣传材料1000份，感召激励更多的人加入到“奉献爱心、挽救生命”的红十字事业中。</w:t>
            </w:r>
          </w:p>
        </w:tc>
      </w:tr>
      <w:tr>
        <w:tblPrEx>
          <w:tblCellMar>
            <w:top w:w="0" w:type="dxa"/>
            <w:left w:w="108" w:type="dxa"/>
            <w:bottom w:w="0" w:type="dxa"/>
            <w:right w:w="108" w:type="dxa"/>
          </w:tblCellMar>
        </w:tblPrEx>
        <w:trPr>
          <w:trHeight w:val="536" w:hRule="atLeast"/>
          <w:jc w:val="center"/>
        </w:trPr>
        <w:tc>
          <w:tcPr>
            <w:tcW w:w="97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0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412" w:hRule="atLeast"/>
          <w:jc w:val="center"/>
        </w:trPr>
        <w:tc>
          <w:tcPr>
            <w:tcW w:w="97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0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04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开展博爱送万家活动次数</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&gt;=1次</w:t>
            </w:r>
          </w:p>
        </w:tc>
        <w:tc>
          <w:tcPr>
            <w:tcW w:w="1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12" w:hRule="atLeast"/>
          <w:jc w:val="center"/>
        </w:trPr>
        <w:tc>
          <w:tcPr>
            <w:tcW w:w="97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204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宣传材料发放份数</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&gt;=1000份</w:t>
            </w:r>
          </w:p>
        </w:tc>
        <w:tc>
          <w:tcPr>
            <w:tcW w:w="1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12" w:hRule="atLeast"/>
          <w:jc w:val="center"/>
        </w:trPr>
        <w:tc>
          <w:tcPr>
            <w:tcW w:w="97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204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参加应急救护培训人数</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&gt;=4000人</w:t>
            </w:r>
          </w:p>
        </w:tc>
        <w:tc>
          <w:tcPr>
            <w:tcW w:w="1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12" w:hRule="atLeast"/>
          <w:jc w:val="center"/>
        </w:trPr>
        <w:tc>
          <w:tcPr>
            <w:tcW w:w="97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04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宣传材料质量合格率</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12" w:hRule="atLeast"/>
          <w:jc w:val="center"/>
        </w:trPr>
        <w:tc>
          <w:tcPr>
            <w:tcW w:w="97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204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应急救护培训覆盖率</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=80%</w:t>
            </w:r>
          </w:p>
        </w:tc>
        <w:tc>
          <w:tcPr>
            <w:tcW w:w="1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12" w:hRule="atLeast"/>
          <w:jc w:val="center"/>
        </w:trPr>
        <w:tc>
          <w:tcPr>
            <w:tcW w:w="97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04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博爱送万家活动按时完成率</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1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12" w:hRule="atLeast"/>
          <w:jc w:val="center"/>
        </w:trPr>
        <w:tc>
          <w:tcPr>
            <w:tcW w:w="97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0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04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备灾救灾金（备用金）</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&lt;=26万元</w:t>
            </w:r>
          </w:p>
        </w:tc>
        <w:tc>
          <w:tcPr>
            <w:tcW w:w="1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12" w:hRule="atLeast"/>
          <w:jc w:val="center"/>
        </w:trPr>
        <w:tc>
          <w:tcPr>
            <w:tcW w:w="97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204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综合办公费支出</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&lt;=4万元</w:t>
            </w:r>
          </w:p>
        </w:tc>
        <w:tc>
          <w:tcPr>
            <w:tcW w:w="1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12" w:hRule="atLeast"/>
          <w:jc w:val="center"/>
        </w:trPr>
        <w:tc>
          <w:tcPr>
            <w:tcW w:w="97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04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“博爱送万家活动”受益人数</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&gt;=2000人</w:t>
            </w:r>
          </w:p>
        </w:tc>
        <w:tc>
          <w:tcPr>
            <w:tcW w:w="1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12" w:hRule="atLeast"/>
          <w:jc w:val="center"/>
        </w:trPr>
        <w:tc>
          <w:tcPr>
            <w:tcW w:w="97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204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参与应急救护培训人员满意度</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&gt;=90%</w:t>
            </w:r>
          </w:p>
        </w:tc>
        <w:tc>
          <w:tcPr>
            <w:tcW w:w="1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1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widowControl/>
        <w:spacing w:line="560" w:lineRule="exact"/>
        <w:ind w:firstLine="630" w:firstLineChars="196"/>
        <w:jc w:val="left"/>
        <w:rPr>
          <w:rFonts w:ascii="楷体_GB2312" w:hAnsi="宋体" w:eastAsia="楷体_GB2312" w:cs="宋体"/>
          <w:b/>
          <w:color w:val="auto"/>
          <w:kern w:val="0"/>
          <w:sz w:val="32"/>
          <w:szCs w:val="32"/>
        </w:rPr>
        <w:sectPr>
          <w:pgSz w:w="11906" w:h="16838"/>
          <w:pgMar w:top="1440" w:right="1800" w:bottom="1440" w:left="1800" w:header="851" w:footer="992" w:gutter="0"/>
          <w:cols w:space="425" w:num="1"/>
          <w:docGrid w:type="lines" w:linePitch="312" w:charSpace="0"/>
        </w:sectPr>
      </w:pPr>
    </w:p>
    <w:p>
      <w:pPr>
        <w:widowControl/>
        <w:spacing w:line="520" w:lineRule="exact"/>
        <w:ind w:firstLine="630" w:firstLineChars="196"/>
        <w:jc w:val="left"/>
        <w:rPr>
          <w:rFonts w:ascii="楷体_GB2312" w:hAnsi="楷体_GB2312" w:eastAsia="楷体_GB2312" w:cs="楷体_GB2312"/>
          <w:b/>
          <w:color w:val="auto"/>
          <w:kern w:val="0"/>
          <w:sz w:val="32"/>
          <w:szCs w:val="32"/>
        </w:rPr>
      </w:pPr>
      <w:r>
        <w:rPr>
          <w:rFonts w:hint="eastAsia" w:ascii="楷体_GB2312" w:hAnsi="楷体_GB2312" w:eastAsia="楷体_GB2312" w:cs="宋体"/>
          <w:b/>
          <w:color w:val="auto"/>
          <w:kern w:val="0"/>
          <w:sz w:val="32"/>
          <w:szCs w:val="32"/>
        </w:rPr>
        <w:t>（五）其他需说明的事项</w:t>
      </w:r>
    </w:p>
    <w:p>
      <w:pPr>
        <w:widowControl/>
        <w:spacing w:line="520" w:lineRule="exact"/>
        <w:ind w:firstLine="640" w:firstLineChars="20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2024年我单位未安排面向中小企业预留政府采购项目预算；未安排小微企业预留政府采购项目预算。</w:t>
      </w:r>
    </w:p>
    <w:p>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color w:val="auto"/>
          <w:kern w:val="0"/>
          <w:sz w:val="32"/>
          <w:szCs w:val="32"/>
        </w:rPr>
      </w:pPr>
      <w:r>
        <w:rPr>
          <w:rFonts w:hint="eastAsia" w:ascii="黑体" w:hAnsi="黑体" w:eastAsia="黑体"/>
          <w:color w:val="auto"/>
          <w:kern w:val="0"/>
          <w:sz w:val="32"/>
          <w:szCs w:val="32"/>
        </w:rPr>
        <w:t>第四部分名词解释</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一、财政拨款：</w:t>
      </w:r>
      <w:r>
        <w:rPr>
          <w:rFonts w:hint="eastAsia" w:ascii="仿宋_GB2312" w:eastAsia="仿宋_GB2312"/>
          <w:color w:val="auto"/>
          <w:sz w:val="32"/>
          <w:szCs w:val="32"/>
        </w:rPr>
        <w:t>指由一般公共预算、政府性基金预算、国有资本经营预算安排的财政拨款数。</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二、一般公共预算：</w:t>
      </w:r>
      <w:r>
        <w:rPr>
          <w:rFonts w:hint="eastAsia" w:ascii="仿宋_GB2312" w:eastAsia="仿宋_GB2312"/>
          <w:color w:val="auto"/>
          <w:sz w:val="32"/>
          <w:szCs w:val="32"/>
        </w:rPr>
        <w:t>包括公共财政拨款（补助）资金、专项收入。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三、财政专户管理资金：</w:t>
      </w:r>
      <w:r>
        <w:rPr>
          <w:rFonts w:hint="eastAsia" w:ascii="仿宋_GB2312" w:eastAsia="仿宋_GB2312"/>
          <w:color w:val="auto"/>
          <w:sz w:val="32"/>
          <w:szCs w:val="32"/>
        </w:rPr>
        <w:t>包括专户管理行政事业性收费（主要是教育收费）、其他非税收入。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四、其他资金：</w:t>
      </w:r>
      <w:r>
        <w:rPr>
          <w:rFonts w:hint="eastAsia" w:ascii="仿宋_GB2312" w:eastAsia="仿宋_GB2312"/>
          <w:color w:val="auto"/>
          <w:sz w:val="32"/>
          <w:szCs w:val="32"/>
        </w:rPr>
        <w:t>包括事业收入、事业经营收入、其他收入等。</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五、基本支出：</w:t>
      </w:r>
      <w:r>
        <w:rPr>
          <w:rFonts w:hint="eastAsia" w:ascii="仿宋_GB2312" w:eastAsia="仿宋_GB2312"/>
          <w:color w:val="auto"/>
          <w:sz w:val="32"/>
          <w:szCs w:val="32"/>
        </w:rPr>
        <w:t>包括人员经费、公用经费（定额）。其中，人员经费包括工资福利支出、对个人和家庭的补助。</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六、项目支出：</w:t>
      </w:r>
      <w:r>
        <w:rPr>
          <w:rFonts w:hint="eastAsia" w:ascii="仿宋_GB2312" w:eastAsia="仿宋_GB2312"/>
          <w:color w:val="auto"/>
          <w:sz w:val="32"/>
          <w:szCs w:val="32"/>
        </w:rPr>
        <w:t>部门（单位）支出预算的组成部分，是各部门（单位）为完成其特定的行政任务或事业发展目标，在基本支出预算之外编制的年度项目支出计划。</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七、“三公”经费：</w:t>
      </w:r>
      <w:r>
        <w:rPr>
          <w:rFonts w:hint="eastAsia" w:ascii="仿宋_GB2312" w:eastAsia="仿宋_GB2312"/>
          <w:color w:val="auto"/>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八、机关运行经费：</w:t>
      </w:r>
      <w:r>
        <w:rPr>
          <w:rFonts w:hint="eastAsia" w:ascii="仿宋_GB2312" w:eastAsia="仿宋_GB2312"/>
          <w:color w:val="auto"/>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ascii="仿宋_GB2312" w:hAnsi="宋体" w:eastAsia="仿宋_GB2312" w:cs="宋体"/>
          <w:color w:val="auto"/>
          <w:kern w:val="0"/>
          <w:sz w:val="32"/>
          <w:szCs w:val="32"/>
        </w:rPr>
      </w:pPr>
    </w:p>
    <w:p>
      <w:pPr>
        <w:widowControl/>
        <w:spacing w:line="520" w:lineRule="exact"/>
        <w:jc w:val="left"/>
        <w:rPr>
          <w:rFonts w:ascii="仿宋_GB2312" w:hAnsi="宋体" w:eastAsia="仿宋_GB2312" w:cs="宋体"/>
          <w:color w:val="auto"/>
          <w:kern w:val="0"/>
          <w:sz w:val="32"/>
          <w:szCs w:val="32"/>
        </w:rPr>
      </w:pPr>
    </w:p>
    <w:p>
      <w:pPr>
        <w:widowControl/>
        <w:spacing w:line="520" w:lineRule="exact"/>
        <w:jc w:val="left"/>
        <w:rPr>
          <w:rFonts w:ascii="仿宋_GB2312" w:hAnsi="宋体" w:eastAsia="仿宋_GB2312" w:cs="宋体"/>
          <w:color w:val="auto"/>
          <w:kern w:val="0"/>
          <w:sz w:val="32"/>
          <w:szCs w:val="32"/>
        </w:rPr>
      </w:pPr>
    </w:p>
    <w:p>
      <w:pPr>
        <w:widowControl/>
        <w:spacing w:line="520" w:lineRule="exact"/>
        <w:jc w:val="righ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托克逊县红十字会</w:t>
      </w:r>
    </w:p>
    <w:p>
      <w:pPr>
        <w:widowControl/>
        <w:spacing w:line="520" w:lineRule="exact"/>
        <w:jc w:val="right"/>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2024年02月04日</w:t>
      </w:r>
    </w:p>
    <w:p>
      <w:pPr>
        <w:rPr>
          <w:color w:val="auto"/>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103243"/>
    <w:rsid w:val="001C492C"/>
    <w:rsid w:val="003B7299"/>
    <w:rsid w:val="005B113B"/>
    <w:rsid w:val="00637898"/>
    <w:rsid w:val="006545CA"/>
    <w:rsid w:val="00705591"/>
    <w:rsid w:val="00794617"/>
    <w:rsid w:val="00A6125B"/>
    <w:rsid w:val="00A836C6"/>
    <w:rsid w:val="00AE6E6A"/>
    <w:rsid w:val="00BA55BC"/>
    <w:rsid w:val="00BE309A"/>
    <w:rsid w:val="00C201B6"/>
    <w:rsid w:val="00CF6B0B"/>
    <w:rsid w:val="00D201E4"/>
    <w:rsid w:val="00D64C78"/>
    <w:rsid w:val="32EB5969"/>
    <w:rsid w:val="35446913"/>
    <w:rsid w:val="3DDC7F8B"/>
    <w:rsid w:val="3EB32EC9"/>
    <w:rsid w:val="4169024D"/>
    <w:rsid w:val="41EB1B24"/>
    <w:rsid w:val="55D07D27"/>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1705</Words>
  <Characters>1925</Characters>
  <Lines>92</Lines>
  <Paragraphs>26</Paragraphs>
  <TotalTime>10</TotalTime>
  <ScaleCrop>false</ScaleCrop>
  <LinksUpToDate>false</LinksUpToDate>
  <CharactersWithSpaces>1999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2025-08-12T05:05:18Z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6A9453DA07C544CF8F123DF3204586AF_13</vt:lpwstr>
  </property>
  <property fmtid="{D5CDD505-2E9C-101B-9397-08002B2CF9AE}" pid="4" name="KSOTemplateDocerSaveRecord">
    <vt:lpwstr>eyJoZGlkIjoiMTcwMGY5N2M4YzI3ODdkZTMzOGFhZTcwMTk4MTdlMjAiLCJ1c2VySWQiOiI0OTQ1NzM3OTEifQ==</vt:lpwstr>
  </property>
</Properties>
</file>